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A69B" w14:textId="5748D1BF" w:rsidR="001831CA" w:rsidRPr="00670FAD" w:rsidRDefault="00482210" w:rsidP="00064D9B">
      <w:pPr>
        <w:pStyle w:val="NoSpacing"/>
        <w:rPr>
          <w:b/>
          <w:u w:val="single"/>
        </w:rPr>
      </w:pPr>
      <w:proofErr w:type="spellStart"/>
      <w:proofErr w:type="gramStart"/>
      <w:r w:rsidRPr="00670FAD">
        <w:rPr>
          <w:b/>
          <w:u w:val="single"/>
        </w:rPr>
        <w:t>eQuest</w:t>
      </w:r>
      <w:proofErr w:type="spellEnd"/>
      <w:proofErr w:type="gramEnd"/>
      <w:r w:rsidRPr="00670FAD">
        <w:rPr>
          <w:b/>
          <w:u w:val="single"/>
        </w:rPr>
        <w:t xml:space="preserve"> </w:t>
      </w:r>
      <w:r w:rsidR="009D0390" w:rsidRPr="00670FAD">
        <w:rPr>
          <w:b/>
          <w:u w:val="single"/>
        </w:rPr>
        <w:t xml:space="preserve">Model Review Checklist – </w:t>
      </w:r>
      <w:r w:rsidRPr="00670FAD">
        <w:rPr>
          <w:b/>
          <w:u w:val="single"/>
        </w:rPr>
        <w:t xml:space="preserve">Level </w:t>
      </w:r>
      <w:r w:rsidR="00DE0246" w:rsidRPr="00670FAD">
        <w:rPr>
          <w:b/>
          <w:u w:val="single"/>
        </w:rPr>
        <w:t>2</w:t>
      </w:r>
    </w:p>
    <w:p w14:paraId="0D09C2B2" w14:textId="1DFF5604" w:rsidR="002D5F82" w:rsidRDefault="00670FAD" w:rsidP="00482210">
      <w:pPr>
        <w:pStyle w:val="NoSpacing"/>
      </w:pPr>
      <w:r>
        <w:t>July 21, 2017</w:t>
      </w:r>
    </w:p>
    <w:p w14:paraId="6793AC45" w14:textId="77777777" w:rsidR="00670FAD" w:rsidRPr="00482210" w:rsidRDefault="00670FAD" w:rsidP="00482210">
      <w:pPr>
        <w:pStyle w:val="NoSpacing"/>
      </w:pPr>
      <w:bookmarkStart w:id="0" w:name="_GoBack"/>
      <w:bookmarkEnd w:id="0"/>
    </w:p>
    <w:p w14:paraId="7233D756" w14:textId="1FA38326" w:rsidR="002D5F82" w:rsidRDefault="00482210" w:rsidP="00482210">
      <w:pPr>
        <w:pStyle w:val="NoSpacing"/>
      </w:pPr>
      <w:r>
        <w:t xml:space="preserve">This model check list is </w:t>
      </w:r>
      <w:r w:rsidR="00E61C27">
        <w:t xml:space="preserve">recommended for model review at 60% CD and 100% CD. </w:t>
      </w:r>
    </w:p>
    <w:p w14:paraId="31E6E08D" w14:textId="77777777" w:rsidR="00482210" w:rsidRPr="00482210" w:rsidRDefault="00482210" w:rsidP="00482210">
      <w:pPr>
        <w:pStyle w:val="NoSpacing"/>
      </w:pPr>
    </w:p>
    <w:p w14:paraId="2E8F8422" w14:textId="5108992E" w:rsidR="002D5F82" w:rsidRPr="00482210" w:rsidRDefault="002D5F82" w:rsidP="00482210">
      <w:pPr>
        <w:pStyle w:val="NoSpacing"/>
      </w:pPr>
      <w:r w:rsidRPr="00482210">
        <w:t>BEPU</w:t>
      </w:r>
      <w:r w:rsidR="00064D9B">
        <w:t>: Building end use breakdown by fuel type</w:t>
      </w:r>
    </w:p>
    <w:p w14:paraId="156C083B" w14:textId="51E949A9" w:rsidR="002D5F82" w:rsidRPr="00482210" w:rsidRDefault="002D5F82" w:rsidP="00482210">
      <w:pPr>
        <w:pStyle w:val="NoSpacing"/>
      </w:pPr>
      <w:r w:rsidRPr="00482210">
        <w:t>ES-D</w:t>
      </w:r>
      <w:r w:rsidR="00064D9B">
        <w:t>: Utility costs</w:t>
      </w:r>
    </w:p>
    <w:p w14:paraId="6C848590" w14:textId="239AA604" w:rsidR="002D5F82" w:rsidRPr="00482210" w:rsidRDefault="002D5F82" w:rsidP="00482210">
      <w:pPr>
        <w:pStyle w:val="NoSpacing"/>
      </w:pPr>
      <w:r w:rsidRPr="00482210">
        <w:t>LV-B</w:t>
      </w:r>
      <w:r w:rsidR="00064D9B">
        <w:t>: Summary of Spaces</w:t>
      </w:r>
    </w:p>
    <w:p w14:paraId="3304E61E" w14:textId="1058FCD5" w:rsidR="002D5F82" w:rsidRPr="00482210" w:rsidRDefault="002D5F82" w:rsidP="00482210">
      <w:pPr>
        <w:pStyle w:val="NoSpacing"/>
      </w:pPr>
      <w:r w:rsidRPr="00482210">
        <w:t>LV-D</w:t>
      </w:r>
      <w:r w:rsidR="00064D9B">
        <w:t>: Details of Exterior Surfaces</w:t>
      </w:r>
    </w:p>
    <w:p w14:paraId="1E20A045" w14:textId="77777777" w:rsidR="00064D9B" w:rsidRPr="00914507" w:rsidRDefault="00064D9B" w:rsidP="00064D9B">
      <w:pPr>
        <w:pStyle w:val="NoSpacing"/>
      </w:pPr>
      <w:r w:rsidRPr="00914507">
        <w:t>LV-H</w:t>
      </w:r>
      <w:r>
        <w:t>: Details of windows</w:t>
      </w:r>
    </w:p>
    <w:p w14:paraId="5DFCC9AA" w14:textId="70C0B393" w:rsidR="002D5F82" w:rsidRPr="00482210" w:rsidRDefault="002D5F82" w:rsidP="00482210">
      <w:pPr>
        <w:pStyle w:val="NoSpacing"/>
      </w:pPr>
      <w:r w:rsidRPr="00482210">
        <w:t>LV-I</w:t>
      </w:r>
      <w:r w:rsidR="00064D9B">
        <w:t>: Details of Constructions</w:t>
      </w:r>
    </w:p>
    <w:p w14:paraId="45D16483" w14:textId="4B30A627" w:rsidR="002D5F82" w:rsidRPr="00482210" w:rsidRDefault="002D5F82" w:rsidP="00482210">
      <w:pPr>
        <w:pStyle w:val="NoSpacing"/>
      </w:pPr>
      <w:r w:rsidRPr="00482210">
        <w:t>SV-A</w:t>
      </w:r>
      <w:r w:rsidR="00064D9B">
        <w:t>: System Design Parameters for HVAC (1 for each system)</w:t>
      </w:r>
    </w:p>
    <w:p w14:paraId="45BCE4EC" w14:textId="74FDE46A" w:rsidR="002D5F82" w:rsidRPr="00482210" w:rsidRDefault="002D5F82" w:rsidP="00482210">
      <w:pPr>
        <w:pStyle w:val="NoSpacing"/>
      </w:pPr>
      <w:r w:rsidRPr="00482210">
        <w:t>PV-A</w:t>
      </w:r>
      <w:r w:rsidR="00064D9B">
        <w:t>: Plant Design Parameters</w:t>
      </w:r>
    </w:p>
    <w:p w14:paraId="7AA7177C" w14:textId="58FA7FF2" w:rsidR="002D5F82" w:rsidRPr="00482210" w:rsidRDefault="002D5F82" w:rsidP="00482210">
      <w:pPr>
        <w:pStyle w:val="NoSpacing"/>
      </w:pPr>
      <w:r w:rsidRPr="00482210">
        <w:t>PS-E</w:t>
      </w:r>
      <w:r w:rsidR="00064D9B">
        <w:t>: Energy End-U</w:t>
      </w:r>
      <w:r w:rsidR="00482210">
        <w:t>se Summary for All Meters (one report for electricity, one for fuel)</w:t>
      </w:r>
    </w:p>
    <w:p w14:paraId="30D77C1D" w14:textId="77777777" w:rsidR="009D0390" w:rsidRPr="00482210" w:rsidRDefault="009D0390" w:rsidP="00482210">
      <w:pPr>
        <w:pStyle w:val="NoSpacing"/>
      </w:pPr>
    </w:p>
    <w:p w14:paraId="55C12280" w14:textId="22CB8945" w:rsidR="005F1689" w:rsidRPr="00DE5BEC" w:rsidRDefault="005F1689" w:rsidP="00482210">
      <w:pPr>
        <w:pStyle w:val="NoSpacing"/>
        <w:rPr>
          <w:b/>
        </w:rPr>
      </w:pPr>
      <w:r w:rsidRPr="00DE5BEC">
        <w:rPr>
          <w:b/>
        </w:rPr>
        <w:t>REPORT: BEPU</w:t>
      </w:r>
      <w:r w:rsidR="00513D61" w:rsidRPr="00DE5BEC">
        <w:rPr>
          <w:b/>
        </w:rPr>
        <w:t xml:space="preserve"> </w:t>
      </w:r>
    </w:p>
    <w:tbl>
      <w:tblPr>
        <w:tblStyle w:val="TableGrid"/>
        <w:tblW w:w="0" w:type="auto"/>
        <w:tblLook w:val="04A0" w:firstRow="1" w:lastRow="0" w:firstColumn="1" w:lastColumn="0" w:noHBand="0" w:noVBand="1"/>
      </w:tblPr>
      <w:tblGrid>
        <w:gridCol w:w="833"/>
        <w:gridCol w:w="7172"/>
        <w:gridCol w:w="1345"/>
      </w:tblGrid>
      <w:tr w:rsidR="00555C69" w:rsidRPr="00482210" w14:paraId="3D7AC5AE" w14:textId="77777777" w:rsidTr="00DE5BEC">
        <w:trPr>
          <w:cantSplit/>
          <w:tblHeader/>
        </w:trPr>
        <w:tc>
          <w:tcPr>
            <w:tcW w:w="833" w:type="dxa"/>
            <w:shd w:val="clear" w:color="auto" w:fill="auto"/>
            <w:vAlign w:val="center"/>
          </w:tcPr>
          <w:p w14:paraId="6D556AA7" w14:textId="77777777" w:rsidR="00555C69" w:rsidRPr="00482210" w:rsidRDefault="00555C69" w:rsidP="00482210">
            <w:pPr>
              <w:pStyle w:val="NoSpacing"/>
              <w:jc w:val="center"/>
              <w:rPr>
                <w:b/>
              </w:rPr>
            </w:pPr>
            <w:r w:rsidRPr="00482210">
              <w:rPr>
                <w:b/>
              </w:rPr>
              <w:t>Mark</w:t>
            </w:r>
          </w:p>
        </w:tc>
        <w:tc>
          <w:tcPr>
            <w:tcW w:w="7172" w:type="dxa"/>
            <w:shd w:val="clear" w:color="auto" w:fill="auto"/>
          </w:tcPr>
          <w:p w14:paraId="00E986ED" w14:textId="77777777" w:rsidR="00555C69" w:rsidRPr="00482210" w:rsidRDefault="00555C69" w:rsidP="00482210">
            <w:pPr>
              <w:pStyle w:val="NoSpacing"/>
              <w:rPr>
                <w:b/>
              </w:rPr>
            </w:pPr>
            <w:r w:rsidRPr="00482210">
              <w:rPr>
                <w:b/>
              </w:rPr>
              <w:t>Test</w:t>
            </w:r>
          </w:p>
        </w:tc>
        <w:tc>
          <w:tcPr>
            <w:tcW w:w="1345" w:type="dxa"/>
            <w:shd w:val="clear" w:color="auto" w:fill="auto"/>
            <w:vAlign w:val="center"/>
          </w:tcPr>
          <w:p w14:paraId="19E9E820" w14:textId="77777777" w:rsidR="00555C69" w:rsidRPr="00482210" w:rsidRDefault="00555C69" w:rsidP="00482210">
            <w:pPr>
              <w:pStyle w:val="NoSpacing"/>
              <w:jc w:val="center"/>
              <w:rPr>
                <w:b/>
              </w:rPr>
            </w:pPr>
            <w:r w:rsidRPr="00482210">
              <w:rPr>
                <w:b/>
              </w:rPr>
              <w:t>Reference #</w:t>
            </w:r>
          </w:p>
        </w:tc>
      </w:tr>
      <w:tr w:rsidR="00555C69" w:rsidRPr="00482210" w14:paraId="0B61A0FD" w14:textId="77777777" w:rsidTr="00DE5BEC">
        <w:trPr>
          <w:cantSplit/>
        </w:trPr>
        <w:tc>
          <w:tcPr>
            <w:tcW w:w="833" w:type="dxa"/>
            <w:shd w:val="clear" w:color="auto" w:fill="auto"/>
            <w:vAlign w:val="center"/>
          </w:tcPr>
          <w:p w14:paraId="29FE7014" w14:textId="77777777" w:rsidR="00555C69" w:rsidRPr="00482210" w:rsidRDefault="00555C69" w:rsidP="00482210">
            <w:pPr>
              <w:pStyle w:val="NoSpacing"/>
              <w:jc w:val="center"/>
            </w:pPr>
          </w:p>
        </w:tc>
        <w:tc>
          <w:tcPr>
            <w:tcW w:w="7172" w:type="dxa"/>
            <w:shd w:val="clear" w:color="auto" w:fill="auto"/>
          </w:tcPr>
          <w:p w14:paraId="211E728E" w14:textId="77777777" w:rsidR="00555C69" w:rsidRPr="00482210" w:rsidRDefault="00555C69" w:rsidP="00482210">
            <w:pPr>
              <w:pStyle w:val="NoSpacing"/>
            </w:pPr>
            <w:r w:rsidRPr="00482210">
              <w:t xml:space="preserve">Is the </w:t>
            </w:r>
            <w:r w:rsidR="007F70A7" w:rsidRPr="00482210">
              <w:t>“</w:t>
            </w:r>
            <w:r w:rsidRPr="00482210">
              <w:t>Weather file</w:t>
            </w:r>
            <w:r w:rsidR="007F70A7" w:rsidRPr="00482210">
              <w:t>”</w:t>
            </w:r>
            <w:r w:rsidRPr="00482210">
              <w:t xml:space="preserve"> consistent with the building location?</w:t>
            </w:r>
          </w:p>
        </w:tc>
        <w:tc>
          <w:tcPr>
            <w:tcW w:w="1345" w:type="dxa"/>
            <w:shd w:val="clear" w:color="auto" w:fill="auto"/>
            <w:vAlign w:val="center"/>
          </w:tcPr>
          <w:p w14:paraId="281D6969" w14:textId="77777777" w:rsidR="00555C69" w:rsidRPr="00482210" w:rsidRDefault="00555C69" w:rsidP="00482210">
            <w:pPr>
              <w:pStyle w:val="NoSpacing"/>
              <w:jc w:val="center"/>
            </w:pPr>
            <w:r w:rsidRPr="00482210">
              <w:t>1</w:t>
            </w:r>
          </w:p>
        </w:tc>
      </w:tr>
      <w:tr w:rsidR="00555C69" w:rsidRPr="00482210" w14:paraId="0BF68111" w14:textId="77777777" w:rsidTr="00DE5BEC">
        <w:trPr>
          <w:cantSplit/>
        </w:trPr>
        <w:tc>
          <w:tcPr>
            <w:tcW w:w="833" w:type="dxa"/>
            <w:shd w:val="clear" w:color="auto" w:fill="auto"/>
            <w:vAlign w:val="center"/>
          </w:tcPr>
          <w:p w14:paraId="1CD26FC5" w14:textId="359BE420" w:rsidR="00555C69" w:rsidRPr="00482210" w:rsidRDefault="00555C69" w:rsidP="00482210">
            <w:pPr>
              <w:pStyle w:val="NoSpacing"/>
              <w:jc w:val="center"/>
            </w:pPr>
          </w:p>
        </w:tc>
        <w:tc>
          <w:tcPr>
            <w:tcW w:w="7172" w:type="dxa"/>
            <w:shd w:val="clear" w:color="auto" w:fill="auto"/>
          </w:tcPr>
          <w:p w14:paraId="50169542" w14:textId="402AC40A" w:rsidR="00555C69" w:rsidRPr="00482210" w:rsidRDefault="007F70A7" w:rsidP="00482210">
            <w:pPr>
              <w:pStyle w:val="NoSpacing"/>
            </w:pPr>
            <w:r w:rsidRPr="00482210">
              <w:t>“</w:t>
            </w:r>
            <w:r w:rsidR="00555C69" w:rsidRPr="00482210">
              <w:t>Task Lighting</w:t>
            </w:r>
            <w:r w:rsidRPr="00482210">
              <w:t>”</w:t>
            </w:r>
            <w:r w:rsidR="00555C69" w:rsidRPr="00482210">
              <w:t xml:space="preserve"> is the same between the Baseline</w:t>
            </w:r>
            <w:r w:rsidR="009762EF" w:rsidRPr="00482210">
              <w:t>s</w:t>
            </w:r>
            <w:r w:rsidR="00555C69" w:rsidRPr="00482210">
              <w:t xml:space="preserve"> and Proposed?</w:t>
            </w:r>
          </w:p>
        </w:tc>
        <w:tc>
          <w:tcPr>
            <w:tcW w:w="1345" w:type="dxa"/>
            <w:shd w:val="clear" w:color="auto" w:fill="auto"/>
            <w:vAlign w:val="center"/>
          </w:tcPr>
          <w:p w14:paraId="0D68E3C4" w14:textId="77777777" w:rsidR="00555C69" w:rsidRPr="00482210" w:rsidRDefault="00555C69" w:rsidP="00482210">
            <w:pPr>
              <w:pStyle w:val="NoSpacing"/>
              <w:jc w:val="center"/>
            </w:pPr>
            <w:r w:rsidRPr="00482210">
              <w:t>3</w:t>
            </w:r>
          </w:p>
        </w:tc>
      </w:tr>
      <w:tr w:rsidR="00555C69" w:rsidRPr="00482210" w14:paraId="787EF851" w14:textId="77777777" w:rsidTr="00DE5BEC">
        <w:trPr>
          <w:cantSplit/>
        </w:trPr>
        <w:tc>
          <w:tcPr>
            <w:tcW w:w="833" w:type="dxa"/>
            <w:shd w:val="clear" w:color="auto" w:fill="auto"/>
            <w:vAlign w:val="center"/>
          </w:tcPr>
          <w:p w14:paraId="0AC218C2" w14:textId="77777777" w:rsidR="00555C69" w:rsidRPr="00482210" w:rsidRDefault="00555C69" w:rsidP="00482210">
            <w:pPr>
              <w:pStyle w:val="NoSpacing"/>
              <w:jc w:val="center"/>
            </w:pPr>
          </w:p>
        </w:tc>
        <w:tc>
          <w:tcPr>
            <w:tcW w:w="7172" w:type="dxa"/>
            <w:shd w:val="clear" w:color="auto" w:fill="auto"/>
          </w:tcPr>
          <w:p w14:paraId="533C8B10" w14:textId="18CA246D" w:rsidR="00555C69" w:rsidRPr="00482210" w:rsidRDefault="007F70A7" w:rsidP="00482210">
            <w:pPr>
              <w:pStyle w:val="NoSpacing"/>
            </w:pPr>
            <w:r w:rsidRPr="00482210">
              <w:t>“</w:t>
            </w:r>
            <w:proofErr w:type="spellStart"/>
            <w:r w:rsidRPr="00482210">
              <w:t>Misc</w:t>
            </w:r>
            <w:proofErr w:type="spellEnd"/>
            <w:r w:rsidRPr="00482210">
              <w:t xml:space="preserve"> Equipment” is 2</w:t>
            </w:r>
            <w:r w:rsidR="00354E22" w:rsidRPr="00482210">
              <w:t>0</w:t>
            </w:r>
            <w:r w:rsidRPr="00482210">
              <w:t>-35% of the Total Electricity?</w:t>
            </w:r>
            <w:r w:rsidR="00641A6E" w:rsidRPr="00482210">
              <w:t xml:space="preserve"> If outside of the range, is the reason documented in the report?</w:t>
            </w:r>
          </w:p>
        </w:tc>
        <w:tc>
          <w:tcPr>
            <w:tcW w:w="1345" w:type="dxa"/>
            <w:shd w:val="clear" w:color="auto" w:fill="auto"/>
            <w:vAlign w:val="center"/>
          </w:tcPr>
          <w:p w14:paraId="54AFD4AE" w14:textId="77777777" w:rsidR="00555C69" w:rsidRPr="00482210" w:rsidRDefault="007F70A7" w:rsidP="00482210">
            <w:pPr>
              <w:pStyle w:val="NoSpacing"/>
              <w:jc w:val="center"/>
            </w:pPr>
            <w:r w:rsidRPr="00482210">
              <w:t>4</w:t>
            </w:r>
          </w:p>
        </w:tc>
      </w:tr>
      <w:tr w:rsidR="00555C69" w:rsidRPr="00482210" w14:paraId="644B59FE" w14:textId="77777777" w:rsidTr="00DE5BEC">
        <w:trPr>
          <w:cantSplit/>
        </w:trPr>
        <w:tc>
          <w:tcPr>
            <w:tcW w:w="833" w:type="dxa"/>
            <w:shd w:val="clear" w:color="auto" w:fill="auto"/>
            <w:vAlign w:val="center"/>
          </w:tcPr>
          <w:p w14:paraId="3A0924DA" w14:textId="77777777" w:rsidR="00555C69" w:rsidRPr="00482210" w:rsidRDefault="00555C69" w:rsidP="00482210">
            <w:pPr>
              <w:pStyle w:val="NoSpacing"/>
              <w:jc w:val="center"/>
            </w:pPr>
          </w:p>
        </w:tc>
        <w:tc>
          <w:tcPr>
            <w:tcW w:w="7172" w:type="dxa"/>
            <w:shd w:val="clear" w:color="auto" w:fill="auto"/>
          </w:tcPr>
          <w:p w14:paraId="0BD7888E" w14:textId="77777777" w:rsidR="00555C69" w:rsidRPr="00482210" w:rsidRDefault="007F70A7" w:rsidP="00482210">
            <w:pPr>
              <w:pStyle w:val="NoSpacing"/>
            </w:pPr>
            <w:r w:rsidRPr="00482210">
              <w:t>All differences in “</w:t>
            </w:r>
            <w:proofErr w:type="spellStart"/>
            <w:r w:rsidRPr="00482210">
              <w:t>Misc</w:t>
            </w:r>
            <w:proofErr w:type="spellEnd"/>
            <w:r w:rsidRPr="00482210">
              <w:t xml:space="preserve"> Equipment” proposed &amp; baseline values </w:t>
            </w:r>
            <w:r w:rsidR="00886F53" w:rsidRPr="00482210">
              <w:t>are</w:t>
            </w:r>
            <w:r w:rsidRPr="00482210">
              <w:t xml:space="preserve"> documented in </w:t>
            </w:r>
            <w:r w:rsidR="00886F53" w:rsidRPr="00482210">
              <w:t xml:space="preserve">the </w:t>
            </w:r>
            <w:r w:rsidRPr="00482210">
              <w:t>report?</w:t>
            </w:r>
          </w:p>
        </w:tc>
        <w:tc>
          <w:tcPr>
            <w:tcW w:w="1345" w:type="dxa"/>
            <w:shd w:val="clear" w:color="auto" w:fill="auto"/>
            <w:vAlign w:val="center"/>
          </w:tcPr>
          <w:p w14:paraId="669E5C64" w14:textId="77777777" w:rsidR="00555C69" w:rsidRPr="00482210" w:rsidRDefault="007F70A7" w:rsidP="00482210">
            <w:pPr>
              <w:pStyle w:val="NoSpacing"/>
              <w:jc w:val="center"/>
            </w:pPr>
            <w:r w:rsidRPr="00482210">
              <w:t>4</w:t>
            </w:r>
          </w:p>
        </w:tc>
      </w:tr>
      <w:tr w:rsidR="00555C69" w:rsidRPr="00482210" w14:paraId="7A8C1D2C" w14:textId="77777777" w:rsidTr="00DE5BEC">
        <w:trPr>
          <w:cantSplit/>
        </w:trPr>
        <w:tc>
          <w:tcPr>
            <w:tcW w:w="833" w:type="dxa"/>
            <w:shd w:val="clear" w:color="auto" w:fill="auto"/>
            <w:vAlign w:val="center"/>
          </w:tcPr>
          <w:p w14:paraId="4EE0E710" w14:textId="297F633C" w:rsidR="00555C69" w:rsidRPr="00482210" w:rsidRDefault="00555C69" w:rsidP="00482210">
            <w:pPr>
              <w:pStyle w:val="NoSpacing"/>
              <w:jc w:val="center"/>
            </w:pPr>
          </w:p>
        </w:tc>
        <w:tc>
          <w:tcPr>
            <w:tcW w:w="7172" w:type="dxa"/>
            <w:shd w:val="clear" w:color="auto" w:fill="auto"/>
          </w:tcPr>
          <w:p w14:paraId="250D1F90" w14:textId="77777777" w:rsidR="00555C69" w:rsidRPr="00482210" w:rsidRDefault="00FD3029" w:rsidP="00482210">
            <w:pPr>
              <w:pStyle w:val="NoSpacing"/>
            </w:pPr>
            <w:r w:rsidRPr="00482210">
              <w:t>“</w:t>
            </w:r>
            <w:proofErr w:type="spellStart"/>
            <w:r w:rsidRPr="00482210">
              <w:t>Domest</w:t>
            </w:r>
            <w:proofErr w:type="spellEnd"/>
            <w:r w:rsidRPr="00482210">
              <w:t xml:space="preserve"> Hot </w:t>
            </w:r>
            <w:proofErr w:type="spellStart"/>
            <w:r w:rsidRPr="00482210">
              <w:t>Wtr</w:t>
            </w:r>
            <w:proofErr w:type="spellEnd"/>
            <w:r w:rsidRPr="00482210">
              <w:t>” is not more than 20% if work includes a new cafeteria and no more than 10% without? If yes, is there a reason documented in the report?</w:t>
            </w:r>
          </w:p>
        </w:tc>
        <w:tc>
          <w:tcPr>
            <w:tcW w:w="1345" w:type="dxa"/>
            <w:shd w:val="clear" w:color="auto" w:fill="auto"/>
            <w:vAlign w:val="center"/>
          </w:tcPr>
          <w:p w14:paraId="0380AD7C" w14:textId="77777777" w:rsidR="00555C69" w:rsidRPr="00482210" w:rsidRDefault="00FD3029" w:rsidP="00482210">
            <w:pPr>
              <w:pStyle w:val="NoSpacing"/>
              <w:jc w:val="center"/>
            </w:pPr>
            <w:r w:rsidRPr="00482210">
              <w:t>5</w:t>
            </w:r>
          </w:p>
        </w:tc>
      </w:tr>
      <w:tr w:rsidR="007F70A7" w:rsidRPr="00482210" w14:paraId="118AAB91" w14:textId="77777777" w:rsidTr="00DE5BEC">
        <w:trPr>
          <w:cantSplit/>
        </w:trPr>
        <w:tc>
          <w:tcPr>
            <w:tcW w:w="833" w:type="dxa"/>
            <w:shd w:val="clear" w:color="auto" w:fill="auto"/>
            <w:vAlign w:val="center"/>
          </w:tcPr>
          <w:p w14:paraId="6C482ADA" w14:textId="77777777" w:rsidR="007F70A7" w:rsidRPr="00482210" w:rsidRDefault="007F70A7" w:rsidP="00482210">
            <w:pPr>
              <w:pStyle w:val="NoSpacing"/>
              <w:jc w:val="center"/>
            </w:pPr>
          </w:p>
        </w:tc>
        <w:tc>
          <w:tcPr>
            <w:tcW w:w="7172" w:type="dxa"/>
            <w:shd w:val="clear" w:color="auto" w:fill="auto"/>
          </w:tcPr>
          <w:p w14:paraId="647E20FD" w14:textId="77777777" w:rsidR="007F70A7" w:rsidRPr="00482210" w:rsidRDefault="00FD3029" w:rsidP="00482210">
            <w:pPr>
              <w:pStyle w:val="NoSpacing"/>
            </w:pPr>
            <w:r w:rsidRPr="00482210">
              <w:t>Is the split between electricity &amp; natural gas “Space Heating” consistent with report documentation?</w:t>
            </w:r>
          </w:p>
          <w:p w14:paraId="55C47774" w14:textId="77777777" w:rsidR="0072694A" w:rsidRPr="00482210" w:rsidRDefault="0072694A" w:rsidP="00482210">
            <w:pPr>
              <w:pStyle w:val="NoSpacing"/>
            </w:pPr>
            <w:r w:rsidRPr="00482210">
              <w:t>Note:</w:t>
            </w:r>
          </w:p>
          <w:p w14:paraId="214267DF" w14:textId="77777777" w:rsidR="0072694A" w:rsidRPr="00482210" w:rsidRDefault="0072694A" w:rsidP="00482210">
            <w:pPr>
              <w:pStyle w:val="CommentText"/>
              <w:rPr>
                <w:sz w:val="22"/>
                <w:szCs w:val="22"/>
              </w:rPr>
            </w:pPr>
            <w:r w:rsidRPr="00482210">
              <w:rPr>
                <w:sz w:val="22"/>
                <w:szCs w:val="22"/>
              </w:rPr>
              <w:t>Example: Proposed (and/or baseline) space heating electricity is 30% of the total electricity, but documentation says the primary heating source is natural gas.</w:t>
            </w:r>
          </w:p>
          <w:p w14:paraId="27A0CF6E" w14:textId="0B9793AE" w:rsidR="0072694A" w:rsidRPr="00482210" w:rsidRDefault="0072694A" w:rsidP="00482210">
            <w:pPr>
              <w:pStyle w:val="NoSpacing"/>
            </w:pPr>
            <w:r w:rsidRPr="00482210">
              <w:t>Some electricity is acceptable, depending on modeler’s preference to model onboard controls.</w:t>
            </w:r>
          </w:p>
        </w:tc>
        <w:tc>
          <w:tcPr>
            <w:tcW w:w="1345" w:type="dxa"/>
            <w:shd w:val="clear" w:color="auto" w:fill="auto"/>
            <w:vAlign w:val="center"/>
          </w:tcPr>
          <w:p w14:paraId="5F426788" w14:textId="77777777" w:rsidR="007F70A7" w:rsidRPr="00482210" w:rsidRDefault="00FD3029" w:rsidP="00482210">
            <w:pPr>
              <w:pStyle w:val="NoSpacing"/>
              <w:jc w:val="center"/>
            </w:pPr>
            <w:r w:rsidRPr="00482210">
              <w:t>6</w:t>
            </w:r>
          </w:p>
        </w:tc>
      </w:tr>
      <w:tr w:rsidR="00354E22" w:rsidRPr="00482210" w14:paraId="75BF551B" w14:textId="77777777" w:rsidTr="00DE5BEC">
        <w:trPr>
          <w:cantSplit/>
        </w:trPr>
        <w:tc>
          <w:tcPr>
            <w:tcW w:w="833" w:type="dxa"/>
            <w:shd w:val="clear" w:color="auto" w:fill="auto"/>
            <w:vAlign w:val="center"/>
          </w:tcPr>
          <w:p w14:paraId="12364DCB" w14:textId="77777777" w:rsidR="00354E22" w:rsidRPr="00482210" w:rsidRDefault="00354E22" w:rsidP="00482210">
            <w:pPr>
              <w:pStyle w:val="NoSpacing"/>
              <w:jc w:val="center"/>
            </w:pPr>
          </w:p>
        </w:tc>
        <w:tc>
          <w:tcPr>
            <w:tcW w:w="7172" w:type="dxa"/>
            <w:shd w:val="clear" w:color="auto" w:fill="auto"/>
          </w:tcPr>
          <w:p w14:paraId="4830D376" w14:textId="77777777" w:rsidR="00354E22" w:rsidRPr="00482210" w:rsidRDefault="00354E22" w:rsidP="00482210">
            <w:pPr>
              <w:pStyle w:val="NoSpacing"/>
            </w:pPr>
            <w:r w:rsidRPr="00482210">
              <w:t xml:space="preserve">Does the GSG baseline show electric use for heating?  </w:t>
            </w:r>
          </w:p>
          <w:p w14:paraId="48532C74" w14:textId="46D63D7B" w:rsidR="00354E22" w:rsidRPr="00482210" w:rsidRDefault="00354E22" w:rsidP="00482210">
            <w:pPr>
              <w:pStyle w:val="NoSpacing"/>
            </w:pPr>
            <w:r w:rsidRPr="00482210">
              <w:t xml:space="preserve">Note: the GSG baseline should only show electric heating under very special circumstances.  </w:t>
            </w:r>
          </w:p>
        </w:tc>
        <w:tc>
          <w:tcPr>
            <w:tcW w:w="1345" w:type="dxa"/>
            <w:shd w:val="clear" w:color="auto" w:fill="auto"/>
            <w:vAlign w:val="center"/>
          </w:tcPr>
          <w:p w14:paraId="39DD3176" w14:textId="74A9F95A" w:rsidR="00354E22" w:rsidRPr="00482210" w:rsidRDefault="007B1936" w:rsidP="00482210">
            <w:pPr>
              <w:pStyle w:val="NoSpacing"/>
              <w:jc w:val="center"/>
            </w:pPr>
            <w:r w:rsidRPr="00482210">
              <w:t>6</w:t>
            </w:r>
          </w:p>
        </w:tc>
      </w:tr>
      <w:tr w:rsidR="007F70A7" w:rsidRPr="00482210" w14:paraId="61651C54" w14:textId="77777777" w:rsidTr="00DE5BEC">
        <w:trPr>
          <w:cantSplit/>
        </w:trPr>
        <w:tc>
          <w:tcPr>
            <w:tcW w:w="833" w:type="dxa"/>
            <w:shd w:val="clear" w:color="auto" w:fill="auto"/>
            <w:vAlign w:val="center"/>
          </w:tcPr>
          <w:p w14:paraId="0FE4A761" w14:textId="142D2A04" w:rsidR="007F70A7" w:rsidRPr="00482210" w:rsidRDefault="007F70A7" w:rsidP="00482210">
            <w:pPr>
              <w:pStyle w:val="NoSpacing"/>
              <w:jc w:val="center"/>
            </w:pPr>
          </w:p>
        </w:tc>
        <w:tc>
          <w:tcPr>
            <w:tcW w:w="7172" w:type="dxa"/>
            <w:shd w:val="clear" w:color="auto" w:fill="auto"/>
          </w:tcPr>
          <w:p w14:paraId="51F5F593" w14:textId="77777777" w:rsidR="007F70A7" w:rsidRPr="00482210" w:rsidRDefault="008D4A4B" w:rsidP="00482210">
            <w:pPr>
              <w:pStyle w:val="NoSpacing"/>
            </w:pPr>
            <w:r w:rsidRPr="00482210">
              <w:t>Is Proposed “Space Cooling” more than 30% Total Electricity?  If yes, is there a reason documented in report?</w:t>
            </w:r>
          </w:p>
        </w:tc>
        <w:tc>
          <w:tcPr>
            <w:tcW w:w="1345" w:type="dxa"/>
            <w:shd w:val="clear" w:color="auto" w:fill="auto"/>
            <w:vAlign w:val="center"/>
          </w:tcPr>
          <w:p w14:paraId="63DAF13A" w14:textId="77777777" w:rsidR="007F70A7" w:rsidRPr="00482210" w:rsidRDefault="008D4A4B" w:rsidP="00482210">
            <w:pPr>
              <w:pStyle w:val="NoSpacing"/>
              <w:jc w:val="center"/>
            </w:pPr>
            <w:r w:rsidRPr="00482210">
              <w:t>7</w:t>
            </w:r>
          </w:p>
        </w:tc>
      </w:tr>
      <w:tr w:rsidR="007F70A7" w:rsidRPr="00482210" w14:paraId="212D35B2" w14:textId="77777777" w:rsidTr="00DE5BEC">
        <w:trPr>
          <w:cantSplit/>
        </w:trPr>
        <w:tc>
          <w:tcPr>
            <w:tcW w:w="833" w:type="dxa"/>
            <w:shd w:val="clear" w:color="auto" w:fill="auto"/>
            <w:vAlign w:val="center"/>
          </w:tcPr>
          <w:p w14:paraId="7EFCAFAF" w14:textId="77777777" w:rsidR="007F70A7" w:rsidRPr="00482210" w:rsidRDefault="007F70A7" w:rsidP="00482210">
            <w:pPr>
              <w:pStyle w:val="NoSpacing"/>
              <w:jc w:val="center"/>
            </w:pPr>
          </w:p>
        </w:tc>
        <w:tc>
          <w:tcPr>
            <w:tcW w:w="7172" w:type="dxa"/>
            <w:shd w:val="clear" w:color="auto" w:fill="auto"/>
          </w:tcPr>
          <w:p w14:paraId="621E2E9E" w14:textId="77777777" w:rsidR="007F70A7" w:rsidRPr="00482210" w:rsidRDefault="008D4A4B" w:rsidP="00482210">
            <w:pPr>
              <w:pStyle w:val="NoSpacing"/>
            </w:pPr>
            <w:r w:rsidRPr="00482210">
              <w:t>Is there a value in “Heat Rejection</w:t>
            </w:r>
            <w:r w:rsidR="00641A6E" w:rsidRPr="00482210">
              <w:t>”?  Does the report document a separate cooling tower?  Are the EFLH consistent with the “Space Cooling” number?</w:t>
            </w:r>
          </w:p>
          <w:p w14:paraId="3AEF42EF" w14:textId="77777777" w:rsidR="0072694A" w:rsidRPr="00482210" w:rsidRDefault="0072694A" w:rsidP="00482210">
            <w:pPr>
              <w:pStyle w:val="NoSpacing"/>
            </w:pPr>
            <w:r w:rsidRPr="00482210">
              <w:t>Notes:</w:t>
            </w:r>
          </w:p>
          <w:p w14:paraId="3EECBF5D" w14:textId="6DAB334B" w:rsidR="0072694A" w:rsidRPr="00482210" w:rsidRDefault="0072694A" w:rsidP="00482210">
            <w:pPr>
              <w:pStyle w:val="NoSpacing"/>
            </w:pPr>
            <w:r w:rsidRPr="00482210">
              <w:t>A value should not show up here if an air-cooled chiller or a packaged RTU are properly modeled.  Values should existing only when a water based condenser loop is required</w:t>
            </w:r>
            <w:r w:rsidR="00354E22" w:rsidRPr="00482210">
              <w:t xml:space="preserve"> (GSG baseline for schools &gt; 150,000 ft2)</w:t>
            </w:r>
            <w:r w:rsidRPr="00482210">
              <w:t>.</w:t>
            </w:r>
          </w:p>
        </w:tc>
        <w:tc>
          <w:tcPr>
            <w:tcW w:w="1345" w:type="dxa"/>
            <w:shd w:val="clear" w:color="auto" w:fill="auto"/>
            <w:vAlign w:val="center"/>
          </w:tcPr>
          <w:p w14:paraId="1B76371E" w14:textId="77777777" w:rsidR="007F70A7" w:rsidRPr="00482210" w:rsidRDefault="00641A6E" w:rsidP="00482210">
            <w:pPr>
              <w:pStyle w:val="NoSpacing"/>
              <w:jc w:val="center"/>
            </w:pPr>
            <w:r w:rsidRPr="00482210">
              <w:t>8</w:t>
            </w:r>
          </w:p>
        </w:tc>
      </w:tr>
      <w:tr w:rsidR="007F70A7" w:rsidRPr="00482210" w14:paraId="6064F15B" w14:textId="77777777" w:rsidTr="00DE5BEC">
        <w:trPr>
          <w:cantSplit/>
        </w:trPr>
        <w:tc>
          <w:tcPr>
            <w:tcW w:w="833" w:type="dxa"/>
            <w:shd w:val="clear" w:color="auto" w:fill="auto"/>
            <w:vAlign w:val="center"/>
          </w:tcPr>
          <w:p w14:paraId="5D18797E" w14:textId="77777777" w:rsidR="007F70A7" w:rsidRPr="00482210" w:rsidRDefault="007F70A7" w:rsidP="00482210">
            <w:pPr>
              <w:pStyle w:val="NoSpacing"/>
              <w:jc w:val="center"/>
            </w:pPr>
          </w:p>
        </w:tc>
        <w:tc>
          <w:tcPr>
            <w:tcW w:w="7172" w:type="dxa"/>
            <w:shd w:val="clear" w:color="auto" w:fill="auto"/>
          </w:tcPr>
          <w:p w14:paraId="0EF9C7C5" w14:textId="240164F0" w:rsidR="007F70A7" w:rsidRPr="00482210" w:rsidRDefault="005E776E" w:rsidP="00482210">
            <w:pPr>
              <w:pStyle w:val="NoSpacing"/>
            </w:pPr>
            <w:r w:rsidRPr="00482210">
              <w:t xml:space="preserve">Is Proposed “Vent Fans” more than </w:t>
            </w:r>
            <w:r w:rsidR="00354E22" w:rsidRPr="00482210">
              <w:t>30</w:t>
            </w:r>
            <w:r w:rsidRPr="00482210">
              <w:t>% Total Electricity?  If yes, is there a reason documented in report?</w:t>
            </w:r>
          </w:p>
        </w:tc>
        <w:tc>
          <w:tcPr>
            <w:tcW w:w="1345" w:type="dxa"/>
            <w:shd w:val="clear" w:color="auto" w:fill="auto"/>
            <w:vAlign w:val="center"/>
          </w:tcPr>
          <w:p w14:paraId="1F7180BF" w14:textId="77777777" w:rsidR="007F70A7" w:rsidRPr="00482210" w:rsidRDefault="005E776E" w:rsidP="00482210">
            <w:pPr>
              <w:pStyle w:val="NoSpacing"/>
              <w:jc w:val="center"/>
            </w:pPr>
            <w:r w:rsidRPr="00482210">
              <w:t>10</w:t>
            </w:r>
          </w:p>
        </w:tc>
      </w:tr>
      <w:tr w:rsidR="007F70A7" w:rsidRPr="00482210" w14:paraId="6F51C74D" w14:textId="77777777" w:rsidTr="00DE5BEC">
        <w:trPr>
          <w:cantSplit/>
        </w:trPr>
        <w:tc>
          <w:tcPr>
            <w:tcW w:w="833" w:type="dxa"/>
            <w:shd w:val="clear" w:color="auto" w:fill="auto"/>
            <w:vAlign w:val="center"/>
          </w:tcPr>
          <w:p w14:paraId="1B8C2553" w14:textId="77777777" w:rsidR="007F70A7" w:rsidRPr="00482210" w:rsidRDefault="007F70A7" w:rsidP="00482210">
            <w:pPr>
              <w:pStyle w:val="NoSpacing"/>
              <w:jc w:val="center"/>
            </w:pPr>
          </w:p>
        </w:tc>
        <w:tc>
          <w:tcPr>
            <w:tcW w:w="7172" w:type="dxa"/>
            <w:shd w:val="clear" w:color="auto" w:fill="auto"/>
          </w:tcPr>
          <w:p w14:paraId="45CB9F17" w14:textId="77777777" w:rsidR="007F70A7" w:rsidRPr="00482210" w:rsidRDefault="005E776E" w:rsidP="00482210">
            <w:pPr>
              <w:pStyle w:val="NoSpacing"/>
            </w:pPr>
            <w:r w:rsidRPr="00482210">
              <w:t>Is the split between electricity &amp; natural gas “</w:t>
            </w:r>
            <w:proofErr w:type="spellStart"/>
            <w:r w:rsidRPr="00482210">
              <w:t>Domest</w:t>
            </w:r>
            <w:proofErr w:type="spellEnd"/>
            <w:r w:rsidRPr="00482210">
              <w:t xml:space="preserve"> Hot </w:t>
            </w:r>
            <w:proofErr w:type="spellStart"/>
            <w:r w:rsidRPr="00482210">
              <w:t>Wtr</w:t>
            </w:r>
            <w:proofErr w:type="spellEnd"/>
            <w:r w:rsidRPr="00482210">
              <w:t xml:space="preserve">” consistent with report documentation? </w:t>
            </w:r>
          </w:p>
          <w:p w14:paraId="2FA31C4F" w14:textId="77777777" w:rsidR="0072694A" w:rsidRPr="00482210" w:rsidRDefault="0072694A" w:rsidP="00482210">
            <w:pPr>
              <w:pStyle w:val="NoSpacing"/>
            </w:pPr>
            <w:r w:rsidRPr="00482210">
              <w:t xml:space="preserve">Notes: </w:t>
            </w:r>
          </w:p>
          <w:p w14:paraId="5183C7FF" w14:textId="77777777" w:rsidR="0072694A" w:rsidRPr="00482210" w:rsidRDefault="0072694A" w:rsidP="00482210">
            <w:pPr>
              <w:pStyle w:val="CommentText"/>
              <w:rPr>
                <w:sz w:val="22"/>
                <w:szCs w:val="22"/>
              </w:rPr>
            </w:pPr>
            <w:r w:rsidRPr="00482210">
              <w:rPr>
                <w:sz w:val="22"/>
                <w:szCs w:val="22"/>
              </w:rPr>
              <w:t>Example: Proposed (and/or baseline) domestic hot water is only electricity, but documentation says the hot water heater should be natural gas.</w:t>
            </w:r>
          </w:p>
          <w:p w14:paraId="6A809EE4" w14:textId="479C6B10" w:rsidR="0072694A" w:rsidRPr="00482210" w:rsidRDefault="0072694A" w:rsidP="00482210">
            <w:pPr>
              <w:pStyle w:val="NoSpacing"/>
            </w:pPr>
            <w:r w:rsidRPr="00482210">
              <w:t>Some electricity is acceptable, depending on modeler’s preference to handle the recirculation pump power and/or the onboard controls.</w:t>
            </w:r>
          </w:p>
        </w:tc>
        <w:tc>
          <w:tcPr>
            <w:tcW w:w="1345" w:type="dxa"/>
            <w:shd w:val="clear" w:color="auto" w:fill="auto"/>
            <w:vAlign w:val="center"/>
          </w:tcPr>
          <w:p w14:paraId="635C8471" w14:textId="77777777" w:rsidR="007F70A7" w:rsidRPr="00482210" w:rsidRDefault="005E776E" w:rsidP="00482210">
            <w:pPr>
              <w:pStyle w:val="NoSpacing"/>
              <w:jc w:val="center"/>
            </w:pPr>
            <w:r w:rsidRPr="00482210">
              <w:t>11</w:t>
            </w:r>
          </w:p>
        </w:tc>
      </w:tr>
      <w:tr w:rsidR="005E776E" w:rsidRPr="00482210" w14:paraId="34BDBA93" w14:textId="77777777" w:rsidTr="00DE5BEC">
        <w:trPr>
          <w:cantSplit/>
        </w:trPr>
        <w:tc>
          <w:tcPr>
            <w:tcW w:w="833" w:type="dxa"/>
            <w:shd w:val="clear" w:color="auto" w:fill="auto"/>
            <w:vAlign w:val="center"/>
          </w:tcPr>
          <w:p w14:paraId="6162A302" w14:textId="77777777" w:rsidR="005E776E" w:rsidRPr="00482210" w:rsidRDefault="005E776E" w:rsidP="00482210">
            <w:pPr>
              <w:pStyle w:val="NoSpacing"/>
              <w:jc w:val="center"/>
            </w:pPr>
          </w:p>
        </w:tc>
        <w:tc>
          <w:tcPr>
            <w:tcW w:w="7172" w:type="dxa"/>
            <w:shd w:val="clear" w:color="auto" w:fill="auto"/>
          </w:tcPr>
          <w:p w14:paraId="20146A02" w14:textId="77777777" w:rsidR="005E776E" w:rsidRPr="00482210" w:rsidRDefault="003931AF" w:rsidP="00482210">
            <w:pPr>
              <w:pStyle w:val="NoSpacing"/>
            </w:pPr>
            <w:r w:rsidRPr="00482210">
              <w:t>“Hours any zone above cooling throttling range” plus “Hours any zone below heating throttling range” are less than 300, and the sum of the proposed hours is no larger than the baseline hours plus 50 hours?</w:t>
            </w:r>
          </w:p>
        </w:tc>
        <w:tc>
          <w:tcPr>
            <w:tcW w:w="1345" w:type="dxa"/>
            <w:shd w:val="clear" w:color="auto" w:fill="auto"/>
            <w:vAlign w:val="center"/>
          </w:tcPr>
          <w:p w14:paraId="4A337FE1" w14:textId="77777777" w:rsidR="005E776E" w:rsidRPr="00482210" w:rsidRDefault="003931AF" w:rsidP="00482210">
            <w:pPr>
              <w:pStyle w:val="NoSpacing"/>
              <w:jc w:val="center"/>
            </w:pPr>
            <w:r w:rsidRPr="00482210">
              <w:t>14</w:t>
            </w:r>
          </w:p>
        </w:tc>
      </w:tr>
      <w:tr w:rsidR="007C6E6D" w:rsidRPr="00482210" w14:paraId="51A274EA" w14:textId="77777777" w:rsidTr="00DE5BEC">
        <w:trPr>
          <w:cantSplit/>
        </w:trPr>
        <w:tc>
          <w:tcPr>
            <w:tcW w:w="833" w:type="dxa"/>
            <w:shd w:val="clear" w:color="auto" w:fill="auto"/>
            <w:vAlign w:val="center"/>
          </w:tcPr>
          <w:p w14:paraId="6DAB5917" w14:textId="77777777" w:rsidR="007C6E6D" w:rsidRPr="00482210" w:rsidRDefault="007C6E6D" w:rsidP="00482210">
            <w:pPr>
              <w:pStyle w:val="NoSpacing"/>
              <w:jc w:val="center"/>
            </w:pPr>
          </w:p>
        </w:tc>
        <w:tc>
          <w:tcPr>
            <w:tcW w:w="7172" w:type="dxa"/>
            <w:shd w:val="clear" w:color="auto" w:fill="auto"/>
          </w:tcPr>
          <w:p w14:paraId="6185B054" w14:textId="5B04630D" w:rsidR="0072694A" w:rsidRPr="00482210" w:rsidRDefault="0072694A" w:rsidP="00482210">
            <w:pPr>
              <w:pStyle w:val="NoSpacing"/>
            </w:pPr>
            <w:r w:rsidRPr="00482210">
              <w:t>Is the sum of the hours above cooling throttling range and heating throttling range above 300?</w:t>
            </w:r>
          </w:p>
        </w:tc>
        <w:tc>
          <w:tcPr>
            <w:tcW w:w="1345" w:type="dxa"/>
            <w:shd w:val="clear" w:color="auto" w:fill="auto"/>
            <w:vAlign w:val="center"/>
          </w:tcPr>
          <w:p w14:paraId="60CA72C9" w14:textId="77777777" w:rsidR="007C6E6D" w:rsidRPr="00482210" w:rsidRDefault="007C6E6D" w:rsidP="00482210">
            <w:pPr>
              <w:pStyle w:val="NoSpacing"/>
              <w:jc w:val="center"/>
            </w:pPr>
            <w:r w:rsidRPr="00482210">
              <w:t>14</w:t>
            </w:r>
          </w:p>
        </w:tc>
      </w:tr>
      <w:tr w:rsidR="0072694A" w:rsidRPr="00482210" w14:paraId="09B59BBF" w14:textId="77777777" w:rsidTr="00DE5BEC">
        <w:trPr>
          <w:cantSplit/>
        </w:trPr>
        <w:tc>
          <w:tcPr>
            <w:tcW w:w="833" w:type="dxa"/>
            <w:shd w:val="clear" w:color="auto" w:fill="auto"/>
            <w:vAlign w:val="center"/>
          </w:tcPr>
          <w:p w14:paraId="1FE4AA52" w14:textId="77777777" w:rsidR="0072694A" w:rsidRPr="00482210" w:rsidRDefault="0072694A" w:rsidP="00482210">
            <w:pPr>
              <w:pStyle w:val="NoSpacing"/>
              <w:jc w:val="center"/>
            </w:pPr>
          </w:p>
        </w:tc>
        <w:tc>
          <w:tcPr>
            <w:tcW w:w="7172" w:type="dxa"/>
            <w:shd w:val="clear" w:color="auto" w:fill="auto"/>
          </w:tcPr>
          <w:p w14:paraId="2266D37F" w14:textId="11EC3B3A" w:rsidR="0072694A" w:rsidRPr="00482210" w:rsidRDefault="0072694A" w:rsidP="00482210">
            <w:pPr>
              <w:pStyle w:val="NoSpacing"/>
            </w:pPr>
            <w:r w:rsidRPr="00482210">
              <w:t>Does the total amount of hours the design is out of range (heating + cooling) differ from the GSG baseline by more than 50 hours?</w:t>
            </w:r>
          </w:p>
        </w:tc>
        <w:tc>
          <w:tcPr>
            <w:tcW w:w="1345" w:type="dxa"/>
            <w:shd w:val="clear" w:color="auto" w:fill="auto"/>
            <w:vAlign w:val="center"/>
          </w:tcPr>
          <w:p w14:paraId="5DCC8275" w14:textId="3CB9B9A7" w:rsidR="0072694A" w:rsidRPr="00482210" w:rsidRDefault="00073F18" w:rsidP="00482210">
            <w:pPr>
              <w:pStyle w:val="NoSpacing"/>
              <w:jc w:val="center"/>
            </w:pPr>
            <w:r w:rsidRPr="00482210">
              <w:t>14</w:t>
            </w:r>
          </w:p>
        </w:tc>
      </w:tr>
      <w:tr w:rsidR="0072694A" w:rsidRPr="00482210" w14:paraId="6755E08B" w14:textId="77777777" w:rsidTr="00DE5BEC">
        <w:trPr>
          <w:cantSplit/>
        </w:trPr>
        <w:tc>
          <w:tcPr>
            <w:tcW w:w="833" w:type="dxa"/>
            <w:shd w:val="clear" w:color="auto" w:fill="auto"/>
            <w:vAlign w:val="center"/>
          </w:tcPr>
          <w:p w14:paraId="338987D8" w14:textId="77777777" w:rsidR="0072694A" w:rsidRPr="00482210" w:rsidRDefault="0072694A" w:rsidP="00482210">
            <w:pPr>
              <w:pStyle w:val="NoSpacing"/>
              <w:jc w:val="center"/>
            </w:pPr>
          </w:p>
        </w:tc>
        <w:tc>
          <w:tcPr>
            <w:tcW w:w="7172" w:type="dxa"/>
            <w:shd w:val="clear" w:color="auto" w:fill="auto"/>
          </w:tcPr>
          <w:p w14:paraId="3E2D2AE2" w14:textId="19CE410B" w:rsidR="0072694A" w:rsidRPr="00482210" w:rsidRDefault="0072694A" w:rsidP="00482210">
            <w:pPr>
              <w:pStyle w:val="NoSpacing"/>
            </w:pPr>
            <w:r w:rsidRPr="00482210">
              <w:t>Does the total amount of hours the design is out of range (heating + cooling) exceed the LL86 baseline by more than 50 hours?</w:t>
            </w:r>
          </w:p>
        </w:tc>
        <w:tc>
          <w:tcPr>
            <w:tcW w:w="1345" w:type="dxa"/>
            <w:shd w:val="clear" w:color="auto" w:fill="auto"/>
            <w:vAlign w:val="center"/>
          </w:tcPr>
          <w:p w14:paraId="65D2E988" w14:textId="3C14173B" w:rsidR="0072694A" w:rsidRPr="00482210" w:rsidRDefault="00073F18" w:rsidP="00482210">
            <w:pPr>
              <w:pStyle w:val="NoSpacing"/>
              <w:jc w:val="center"/>
            </w:pPr>
            <w:r w:rsidRPr="00482210">
              <w:t>14</w:t>
            </w:r>
          </w:p>
        </w:tc>
      </w:tr>
      <w:tr w:rsidR="007C6E6D" w:rsidRPr="00482210" w14:paraId="4298483C" w14:textId="77777777" w:rsidTr="00DE5BEC">
        <w:trPr>
          <w:cantSplit/>
        </w:trPr>
        <w:tc>
          <w:tcPr>
            <w:tcW w:w="833" w:type="dxa"/>
            <w:shd w:val="clear" w:color="auto" w:fill="auto"/>
            <w:vAlign w:val="center"/>
          </w:tcPr>
          <w:p w14:paraId="606C246D" w14:textId="73BA395B" w:rsidR="007C6E6D" w:rsidRPr="00482210" w:rsidRDefault="007C6E6D" w:rsidP="00482210">
            <w:pPr>
              <w:pStyle w:val="NoSpacing"/>
              <w:jc w:val="center"/>
            </w:pPr>
          </w:p>
        </w:tc>
        <w:tc>
          <w:tcPr>
            <w:tcW w:w="7172" w:type="dxa"/>
            <w:shd w:val="clear" w:color="auto" w:fill="auto"/>
          </w:tcPr>
          <w:p w14:paraId="24F32E37" w14:textId="77777777" w:rsidR="007C6E6D" w:rsidRPr="00482210" w:rsidRDefault="007C6E6D" w:rsidP="00482210">
            <w:pPr>
              <w:pStyle w:val="NoSpacing"/>
            </w:pPr>
            <w:r w:rsidRPr="00482210">
              <w:t>“Percent of hours any plant load not satisfied” more than 0%?  If yes, is a reason documented in report?</w:t>
            </w:r>
          </w:p>
          <w:p w14:paraId="2040B432" w14:textId="77777777" w:rsidR="0072694A" w:rsidRPr="00482210" w:rsidRDefault="0072694A" w:rsidP="00482210">
            <w:pPr>
              <w:pStyle w:val="NoSpacing"/>
            </w:pPr>
            <w:r w:rsidRPr="00482210">
              <w:t>Notes:</w:t>
            </w:r>
          </w:p>
          <w:p w14:paraId="2FBE4742" w14:textId="5846BA26" w:rsidR="0072694A" w:rsidRPr="00482210" w:rsidRDefault="0072694A" w:rsidP="00482210">
            <w:pPr>
              <w:pStyle w:val="NoSpacing"/>
            </w:pPr>
            <w:r w:rsidRPr="00482210">
              <w:t>If this value is greater than 0% then it is indicative of an undersized plant, or oversized cooling/heating load.</w:t>
            </w:r>
          </w:p>
        </w:tc>
        <w:tc>
          <w:tcPr>
            <w:tcW w:w="1345" w:type="dxa"/>
            <w:shd w:val="clear" w:color="auto" w:fill="auto"/>
            <w:vAlign w:val="center"/>
          </w:tcPr>
          <w:p w14:paraId="31C08AC4" w14:textId="77777777" w:rsidR="007C6E6D" w:rsidRPr="00482210" w:rsidRDefault="007C6E6D" w:rsidP="00482210">
            <w:pPr>
              <w:pStyle w:val="NoSpacing"/>
              <w:jc w:val="center"/>
            </w:pPr>
            <w:r w:rsidRPr="00482210">
              <w:t>14</w:t>
            </w:r>
          </w:p>
        </w:tc>
      </w:tr>
      <w:tr w:rsidR="00354E22" w:rsidRPr="00482210" w14:paraId="20739D8F" w14:textId="77777777" w:rsidTr="00DE5BEC">
        <w:trPr>
          <w:cantSplit/>
        </w:trPr>
        <w:tc>
          <w:tcPr>
            <w:tcW w:w="833" w:type="dxa"/>
            <w:shd w:val="clear" w:color="auto" w:fill="auto"/>
            <w:vAlign w:val="center"/>
          </w:tcPr>
          <w:p w14:paraId="2B29204D" w14:textId="6E91477D" w:rsidR="00354E22" w:rsidRPr="00482210" w:rsidRDefault="002D5F82" w:rsidP="00482210">
            <w:pPr>
              <w:pStyle w:val="NoSpacing"/>
              <w:jc w:val="center"/>
            </w:pPr>
            <w:r w:rsidRPr="00482210">
              <w:t>NA</w:t>
            </w:r>
          </w:p>
        </w:tc>
        <w:tc>
          <w:tcPr>
            <w:tcW w:w="7172" w:type="dxa"/>
            <w:shd w:val="clear" w:color="auto" w:fill="auto"/>
          </w:tcPr>
          <w:p w14:paraId="0E702C9A" w14:textId="238CE09A" w:rsidR="00354E22" w:rsidRPr="00482210" w:rsidRDefault="002D5F82" w:rsidP="00482210">
            <w:pPr>
              <w:pStyle w:val="NoSpacing"/>
            </w:pPr>
            <w:r w:rsidRPr="00482210">
              <w:t xml:space="preserve">General Report </w:t>
            </w:r>
            <w:r w:rsidR="00354E22" w:rsidRPr="00482210">
              <w:t>Notes:</w:t>
            </w:r>
          </w:p>
          <w:p w14:paraId="63C8F739" w14:textId="71F38FB1" w:rsidR="00354E22" w:rsidRPr="00482210" w:rsidRDefault="00354E22" w:rsidP="00482210">
            <w:pPr>
              <w:pStyle w:val="NoSpacing"/>
            </w:pPr>
            <w:r w:rsidRPr="00482210">
              <w:t xml:space="preserve">The usage </w:t>
            </w:r>
            <w:r w:rsidR="004E4B1D" w:rsidRPr="00482210">
              <w:t>by area (kWh/</w:t>
            </w:r>
            <w:proofErr w:type="spellStart"/>
            <w:r w:rsidR="004E4B1D" w:rsidRPr="00482210">
              <w:t>sqft-yr</w:t>
            </w:r>
            <w:proofErr w:type="spellEnd"/>
            <w:r w:rsidR="004E4B1D" w:rsidRPr="00482210">
              <w:t xml:space="preserve">) may include unconditioned areas like plenums.  The EUI should be determined using the project area. </w:t>
            </w:r>
          </w:p>
        </w:tc>
        <w:tc>
          <w:tcPr>
            <w:tcW w:w="1345" w:type="dxa"/>
            <w:shd w:val="clear" w:color="auto" w:fill="auto"/>
            <w:vAlign w:val="center"/>
          </w:tcPr>
          <w:p w14:paraId="2FC129F6" w14:textId="77777777" w:rsidR="00354E22" w:rsidRPr="00482210" w:rsidRDefault="00354E22" w:rsidP="00482210">
            <w:pPr>
              <w:pStyle w:val="NoSpacing"/>
              <w:jc w:val="center"/>
            </w:pPr>
          </w:p>
        </w:tc>
      </w:tr>
    </w:tbl>
    <w:p w14:paraId="67180720" w14:textId="006BC586" w:rsidR="00513D61" w:rsidRPr="00482210" w:rsidRDefault="00513D61" w:rsidP="00482210">
      <w:pPr>
        <w:pStyle w:val="NoSpacing"/>
      </w:pPr>
    </w:p>
    <w:p w14:paraId="5D35B753" w14:textId="31C9C27F" w:rsidR="009F0F0B" w:rsidRPr="00DE5BEC" w:rsidRDefault="009F0F0B" w:rsidP="00482210">
      <w:pPr>
        <w:pStyle w:val="NoSpacing"/>
        <w:rPr>
          <w:b/>
        </w:rPr>
      </w:pPr>
      <w:r w:rsidRPr="00DE5BEC">
        <w:rPr>
          <w:b/>
        </w:rPr>
        <w:t xml:space="preserve">REPORT: ES-D </w:t>
      </w:r>
    </w:p>
    <w:tbl>
      <w:tblPr>
        <w:tblStyle w:val="TableGrid"/>
        <w:tblW w:w="0" w:type="auto"/>
        <w:tblLook w:val="04A0" w:firstRow="1" w:lastRow="0" w:firstColumn="1" w:lastColumn="0" w:noHBand="0" w:noVBand="1"/>
      </w:tblPr>
      <w:tblGrid>
        <w:gridCol w:w="833"/>
        <w:gridCol w:w="7172"/>
        <w:gridCol w:w="1345"/>
      </w:tblGrid>
      <w:tr w:rsidR="009F0F0B" w:rsidRPr="00482210" w14:paraId="6D06A950" w14:textId="77777777" w:rsidTr="00482210">
        <w:tc>
          <w:tcPr>
            <w:tcW w:w="833" w:type="dxa"/>
            <w:shd w:val="clear" w:color="auto" w:fill="auto"/>
            <w:vAlign w:val="center"/>
          </w:tcPr>
          <w:p w14:paraId="70C6CCB5" w14:textId="77777777" w:rsidR="009F0F0B" w:rsidRPr="00482210" w:rsidRDefault="009F0F0B" w:rsidP="00482210">
            <w:pPr>
              <w:pStyle w:val="NoSpacing"/>
              <w:jc w:val="center"/>
              <w:rPr>
                <w:b/>
              </w:rPr>
            </w:pPr>
            <w:r w:rsidRPr="00482210">
              <w:rPr>
                <w:b/>
              </w:rPr>
              <w:t>Mark</w:t>
            </w:r>
          </w:p>
        </w:tc>
        <w:tc>
          <w:tcPr>
            <w:tcW w:w="7172" w:type="dxa"/>
            <w:shd w:val="clear" w:color="auto" w:fill="auto"/>
          </w:tcPr>
          <w:p w14:paraId="15A828A1" w14:textId="77777777" w:rsidR="009F0F0B" w:rsidRPr="00482210" w:rsidRDefault="009F0F0B" w:rsidP="00482210">
            <w:pPr>
              <w:pStyle w:val="NoSpacing"/>
              <w:rPr>
                <w:b/>
              </w:rPr>
            </w:pPr>
            <w:r w:rsidRPr="00482210">
              <w:rPr>
                <w:b/>
              </w:rPr>
              <w:t>Test</w:t>
            </w:r>
          </w:p>
        </w:tc>
        <w:tc>
          <w:tcPr>
            <w:tcW w:w="1345" w:type="dxa"/>
            <w:shd w:val="clear" w:color="auto" w:fill="auto"/>
            <w:vAlign w:val="center"/>
          </w:tcPr>
          <w:p w14:paraId="6F2B591D" w14:textId="77777777" w:rsidR="009F0F0B" w:rsidRPr="00482210" w:rsidRDefault="009F0F0B" w:rsidP="00482210">
            <w:pPr>
              <w:pStyle w:val="NoSpacing"/>
              <w:jc w:val="center"/>
              <w:rPr>
                <w:b/>
              </w:rPr>
            </w:pPr>
            <w:r w:rsidRPr="00482210">
              <w:rPr>
                <w:b/>
              </w:rPr>
              <w:t>Reference #</w:t>
            </w:r>
          </w:p>
        </w:tc>
      </w:tr>
      <w:tr w:rsidR="00064D9B" w:rsidRPr="00482210" w14:paraId="46AFFDD4" w14:textId="77777777" w:rsidTr="00482210">
        <w:tc>
          <w:tcPr>
            <w:tcW w:w="833" w:type="dxa"/>
            <w:shd w:val="clear" w:color="auto" w:fill="auto"/>
            <w:vAlign w:val="center"/>
          </w:tcPr>
          <w:p w14:paraId="339A64F7" w14:textId="77777777" w:rsidR="009F0F0B" w:rsidRPr="00482210" w:rsidRDefault="009F0F0B" w:rsidP="00482210">
            <w:pPr>
              <w:pStyle w:val="NoSpacing"/>
              <w:jc w:val="center"/>
            </w:pPr>
          </w:p>
        </w:tc>
        <w:tc>
          <w:tcPr>
            <w:tcW w:w="7172" w:type="dxa"/>
            <w:shd w:val="clear" w:color="auto" w:fill="auto"/>
          </w:tcPr>
          <w:p w14:paraId="452017CB" w14:textId="24FFE9F9" w:rsidR="009F0F0B" w:rsidRPr="00482210" w:rsidRDefault="009F0F0B" w:rsidP="00482210">
            <w:pPr>
              <w:pStyle w:val="NoSpacing"/>
            </w:pPr>
            <w:r w:rsidRPr="00482210">
              <w:t>Do the utility costs match the values in the report?</w:t>
            </w:r>
          </w:p>
          <w:p w14:paraId="0803F81F" w14:textId="737A87CD" w:rsidR="009F0F0B" w:rsidRPr="00482210" w:rsidRDefault="009F0F0B" w:rsidP="00482210">
            <w:pPr>
              <w:pStyle w:val="NoSpacing"/>
            </w:pPr>
            <w:r w:rsidRPr="00482210">
              <w:t xml:space="preserve"> </w:t>
            </w:r>
          </w:p>
        </w:tc>
        <w:tc>
          <w:tcPr>
            <w:tcW w:w="1345" w:type="dxa"/>
            <w:shd w:val="clear" w:color="auto" w:fill="auto"/>
            <w:vAlign w:val="center"/>
          </w:tcPr>
          <w:p w14:paraId="1B527DC7" w14:textId="77777777" w:rsidR="009F0F0B" w:rsidRPr="00482210" w:rsidRDefault="009F0F0B" w:rsidP="00482210">
            <w:pPr>
              <w:pStyle w:val="NoSpacing"/>
              <w:jc w:val="center"/>
            </w:pPr>
            <w:r w:rsidRPr="00482210">
              <w:t>1</w:t>
            </w:r>
          </w:p>
        </w:tc>
      </w:tr>
    </w:tbl>
    <w:p w14:paraId="05643752" w14:textId="77777777" w:rsidR="00513D61" w:rsidRPr="00482210" w:rsidRDefault="00513D61" w:rsidP="00482210">
      <w:r w:rsidRPr="00482210">
        <w:br w:type="page"/>
      </w:r>
    </w:p>
    <w:p w14:paraId="5B7FFDAF" w14:textId="223489A4" w:rsidR="002D5F82" w:rsidRPr="00DE5BEC" w:rsidRDefault="002D5F82" w:rsidP="00482210">
      <w:pPr>
        <w:pStyle w:val="NoSpacing"/>
        <w:rPr>
          <w:b/>
        </w:rPr>
      </w:pPr>
      <w:r w:rsidRPr="00DE5BEC">
        <w:rPr>
          <w:b/>
        </w:rPr>
        <w:lastRenderedPageBreak/>
        <w:t xml:space="preserve">REPORT: LV-B </w:t>
      </w:r>
    </w:p>
    <w:tbl>
      <w:tblPr>
        <w:tblStyle w:val="TableGrid"/>
        <w:tblW w:w="0" w:type="auto"/>
        <w:tblLook w:val="04A0" w:firstRow="1" w:lastRow="0" w:firstColumn="1" w:lastColumn="0" w:noHBand="0" w:noVBand="1"/>
      </w:tblPr>
      <w:tblGrid>
        <w:gridCol w:w="833"/>
        <w:gridCol w:w="7172"/>
        <w:gridCol w:w="1345"/>
      </w:tblGrid>
      <w:tr w:rsidR="002D5F82" w:rsidRPr="00482210" w14:paraId="4637F32F" w14:textId="77777777" w:rsidTr="00482210">
        <w:tc>
          <w:tcPr>
            <w:tcW w:w="833" w:type="dxa"/>
            <w:shd w:val="clear" w:color="auto" w:fill="auto"/>
            <w:vAlign w:val="center"/>
          </w:tcPr>
          <w:p w14:paraId="5833FA04" w14:textId="77777777" w:rsidR="002D5F82" w:rsidRPr="00482210" w:rsidRDefault="002D5F82" w:rsidP="00482210">
            <w:pPr>
              <w:pStyle w:val="NoSpacing"/>
              <w:jc w:val="center"/>
              <w:rPr>
                <w:b/>
              </w:rPr>
            </w:pPr>
            <w:r w:rsidRPr="00482210">
              <w:rPr>
                <w:b/>
              </w:rPr>
              <w:t>Mark</w:t>
            </w:r>
          </w:p>
        </w:tc>
        <w:tc>
          <w:tcPr>
            <w:tcW w:w="7172" w:type="dxa"/>
            <w:shd w:val="clear" w:color="auto" w:fill="auto"/>
          </w:tcPr>
          <w:p w14:paraId="5D0B4451" w14:textId="77777777" w:rsidR="002D5F82" w:rsidRPr="00482210" w:rsidRDefault="002D5F82" w:rsidP="00482210">
            <w:pPr>
              <w:pStyle w:val="NoSpacing"/>
              <w:rPr>
                <w:b/>
              </w:rPr>
            </w:pPr>
            <w:r w:rsidRPr="00482210">
              <w:rPr>
                <w:b/>
              </w:rPr>
              <w:t>Test</w:t>
            </w:r>
          </w:p>
        </w:tc>
        <w:tc>
          <w:tcPr>
            <w:tcW w:w="1345" w:type="dxa"/>
            <w:shd w:val="clear" w:color="auto" w:fill="auto"/>
            <w:vAlign w:val="center"/>
          </w:tcPr>
          <w:p w14:paraId="1448C19A" w14:textId="77777777" w:rsidR="002D5F82" w:rsidRPr="00482210" w:rsidRDefault="002D5F82" w:rsidP="00482210">
            <w:pPr>
              <w:pStyle w:val="NoSpacing"/>
              <w:jc w:val="center"/>
              <w:rPr>
                <w:b/>
              </w:rPr>
            </w:pPr>
            <w:r w:rsidRPr="00482210">
              <w:rPr>
                <w:b/>
              </w:rPr>
              <w:t>Reference #</w:t>
            </w:r>
          </w:p>
        </w:tc>
      </w:tr>
      <w:tr w:rsidR="00064D9B" w:rsidRPr="00482210" w14:paraId="6A8C95B3" w14:textId="77777777" w:rsidTr="00482210">
        <w:tc>
          <w:tcPr>
            <w:tcW w:w="833" w:type="dxa"/>
            <w:shd w:val="clear" w:color="auto" w:fill="auto"/>
            <w:vAlign w:val="center"/>
          </w:tcPr>
          <w:p w14:paraId="6B791B6D" w14:textId="77777777" w:rsidR="002D5F82" w:rsidRPr="00482210" w:rsidRDefault="002D5F82" w:rsidP="00482210">
            <w:pPr>
              <w:pStyle w:val="NoSpacing"/>
              <w:jc w:val="center"/>
            </w:pPr>
          </w:p>
        </w:tc>
        <w:tc>
          <w:tcPr>
            <w:tcW w:w="7172" w:type="dxa"/>
            <w:shd w:val="clear" w:color="auto" w:fill="auto"/>
          </w:tcPr>
          <w:p w14:paraId="201E1E22" w14:textId="040CA686" w:rsidR="002D5F82" w:rsidRPr="00482210" w:rsidRDefault="002D5F82" w:rsidP="00482210">
            <w:pPr>
              <w:pStyle w:val="NoSpacing"/>
            </w:pPr>
            <w:r w:rsidRPr="00482210">
              <w:t xml:space="preserve">Are the lighting power densities consistent with the report/ photometric drawings/ code requirements?  Are the occupancy </w:t>
            </w:r>
            <w:r w:rsidR="00022594" w:rsidRPr="00482210">
              <w:t>sensor controls accounted for in the LPD?</w:t>
            </w:r>
          </w:p>
          <w:p w14:paraId="3E76C9CE" w14:textId="77777777" w:rsidR="002D5F82" w:rsidRPr="00482210" w:rsidRDefault="002D5F82" w:rsidP="00482210">
            <w:pPr>
              <w:pStyle w:val="NoSpacing"/>
            </w:pPr>
            <w:r w:rsidRPr="00482210">
              <w:t>Note:</w:t>
            </w:r>
          </w:p>
          <w:p w14:paraId="6E28BA4D" w14:textId="05A0D6A3" w:rsidR="002D5F82" w:rsidRPr="00482210" w:rsidRDefault="00DE5BEC" w:rsidP="00482210">
            <w:pPr>
              <w:pStyle w:val="NoSpacing"/>
            </w:pPr>
            <w:r w:rsidRPr="00482210">
              <w:t xml:space="preserve">The lighting power density may be entered as averages for a space type, or may be entered </w:t>
            </w:r>
            <w:r>
              <w:t>as a space specific value.</w:t>
            </w:r>
          </w:p>
        </w:tc>
        <w:tc>
          <w:tcPr>
            <w:tcW w:w="1345" w:type="dxa"/>
            <w:shd w:val="clear" w:color="auto" w:fill="auto"/>
            <w:vAlign w:val="center"/>
          </w:tcPr>
          <w:p w14:paraId="2B800D57" w14:textId="77777777" w:rsidR="002D5F82" w:rsidRPr="00482210" w:rsidRDefault="002D5F82" w:rsidP="00482210">
            <w:pPr>
              <w:pStyle w:val="NoSpacing"/>
              <w:jc w:val="center"/>
            </w:pPr>
            <w:r w:rsidRPr="00482210">
              <w:t>1</w:t>
            </w:r>
          </w:p>
        </w:tc>
      </w:tr>
      <w:tr w:rsidR="00064D9B" w:rsidRPr="00482210" w14:paraId="52C62EB5" w14:textId="77777777" w:rsidTr="00064D9B">
        <w:tc>
          <w:tcPr>
            <w:tcW w:w="833" w:type="dxa"/>
            <w:shd w:val="clear" w:color="auto" w:fill="auto"/>
            <w:vAlign w:val="center"/>
          </w:tcPr>
          <w:p w14:paraId="2E57DEBA" w14:textId="77777777" w:rsidR="002D5F82" w:rsidRPr="00482210" w:rsidRDefault="002D5F82" w:rsidP="00482210">
            <w:pPr>
              <w:pStyle w:val="NoSpacing"/>
              <w:jc w:val="center"/>
            </w:pPr>
          </w:p>
        </w:tc>
        <w:tc>
          <w:tcPr>
            <w:tcW w:w="7172" w:type="dxa"/>
            <w:shd w:val="clear" w:color="auto" w:fill="auto"/>
          </w:tcPr>
          <w:p w14:paraId="7C085238" w14:textId="318F750F" w:rsidR="002D5F82" w:rsidRPr="00482210" w:rsidRDefault="00022594" w:rsidP="00482210">
            <w:pPr>
              <w:pStyle w:val="NoSpacing"/>
            </w:pPr>
            <w:r w:rsidRPr="00482210">
              <w:t>Are the equipment power densities reasonable?</w:t>
            </w:r>
          </w:p>
        </w:tc>
        <w:tc>
          <w:tcPr>
            <w:tcW w:w="1345" w:type="dxa"/>
            <w:shd w:val="clear" w:color="auto" w:fill="auto"/>
            <w:vAlign w:val="center"/>
          </w:tcPr>
          <w:p w14:paraId="66472793" w14:textId="77777777" w:rsidR="002D5F82" w:rsidRPr="00482210" w:rsidRDefault="002D5F82" w:rsidP="00482210">
            <w:pPr>
              <w:pStyle w:val="NoSpacing"/>
              <w:jc w:val="center"/>
            </w:pPr>
            <w:r w:rsidRPr="00482210">
              <w:t>2</w:t>
            </w:r>
          </w:p>
        </w:tc>
      </w:tr>
      <w:tr w:rsidR="00064D9B" w:rsidRPr="00482210" w14:paraId="42B43D0E" w14:textId="77777777" w:rsidTr="00064D9B">
        <w:tc>
          <w:tcPr>
            <w:tcW w:w="833" w:type="dxa"/>
            <w:shd w:val="clear" w:color="auto" w:fill="auto"/>
            <w:vAlign w:val="center"/>
          </w:tcPr>
          <w:p w14:paraId="17FABCB5" w14:textId="77777777" w:rsidR="002D5F82" w:rsidRPr="00482210" w:rsidRDefault="002D5F82" w:rsidP="00482210">
            <w:pPr>
              <w:pStyle w:val="NoSpacing"/>
              <w:jc w:val="center"/>
            </w:pPr>
          </w:p>
        </w:tc>
        <w:tc>
          <w:tcPr>
            <w:tcW w:w="7172" w:type="dxa"/>
            <w:shd w:val="clear" w:color="auto" w:fill="auto"/>
          </w:tcPr>
          <w:p w14:paraId="3C3750B0" w14:textId="77777777" w:rsidR="002D5F82" w:rsidRPr="00482210" w:rsidRDefault="00022594" w:rsidP="00482210">
            <w:pPr>
              <w:pStyle w:val="NoSpacing"/>
            </w:pPr>
            <w:r w:rsidRPr="00482210">
              <w:t>Is the modeled project area within 5% of the design area?</w:t>
            </w:r>
          </w:p>
          <w:p w14:paraId="2308A074" w14:textId="77777777" w:rsidR="00022594" w:rsidRPr="00482210" w:rsidRDefault="00022594" w:rsidP="00482210">
            <w:pPr>
              <w:pStyle w:val="NoSpacing"/>
            </w:pPr>
            <w:r w:rsidRPr="00482210">
              <w:t>Note:</w:t>
            </w:r>
          </w:p>
          <w:p w14:paraId="09263543" w14:textId="159008A7" w:rsidR="00022594" w:rsidRPr="00482210" w:rsidRDefault="00022594" w:rsidP="00482210">
            <w:pPr>
              <w:pStyle w:val="NoSpacing"/>
            </w:pPr>
            <w:r w:rsidRPr="00482210">
              <w:t>The total area may include plenums or other unconditioned spaces that are not part of the design, but are required for proper modeling.  The areas for each space do not take into account the floor multipliers, but the total area does.</w:t>
            </w:r>
          </w:p>
        </w:tc>
        <w:tc>
          <w:tcPr>
            <w:tcW w:w="1345" w:type="dxa"/>
            <w:shd w:val="clear" w:color="auto" w:fill="auto"/>
            <w:vAlign w:val="center"/>
          </w:tcPr>
          <w:p w14:paraId="19D60616" w14:textId="77777777" w:rsidR="002D5F82" w:rsidRPr="00482210" w:rsidRDefault="002D5F82" w:rsidP="00482210">
            <w:pPr>
              <w:pStyle w:val="NoSpacing"/>
              <w:jc w:val="center"/>
            </w:pPr>
            <w:r w:rsidRPr="00482210">
              <w:t>3</w:t>
            </w:r>
          </w:p>
        </w:tc>
      </w:tr>
    </w:tbl>
    <w:p w14:paraId="30983D9A" w14:textId="311F4E33" w:rsidR="002D5F82" w:rsidRPr="00482210" w:rsidRDefault="002D5F82" w:rsidP="00482210">
      <w:pPr>
        <w:pStyle w:val="NoSpacing"/>
      </w:pPr>
    </w:p>
    <w:p w14:paraId="1533A371" w14:textId="7F808E5B" w:rsidR="00DF2EBD" w:rsidRPr="00DE5BEC" w:rsidRDefault="00DF2EBD" w:rsidP="00482210">
      <w:pPr>
        <w:pStyle w:val="NoSpacing"/>
        <w:rPr>
          <w:b/>
        </w:rPr>
      </w:pPr>
      <w:r w:rsidRPr="00DE5BEC">
        <w:rPr>
          <w:b/>
        </w:rPr>
        <w:t>REPORT: LV-D</w:t>
      </w:r>
    </w:p>
    <w:tbl>
      <w:tblPr>
        <w:tblStyle w:val="TableGrid"/>
        <w:tblW w:w="0" w:type="auto"/>
        <w:tblLook w:val="04A0" w:firstRow="1" w:lastRow="0" w:firstColumn="1" w:lastColumn="0" w:noHBand="0" w:noVBand="1"/>
      </w:tblPr>
      <w:tblGrid>
        <w:gridCol w:w="833"/>
        <w:gridCol w:w="7172"/>
        <w:gridCol w:w="1345"/>
      </w:tblGrid>
      <w:tr w:rsidR="00DF2EBD" w:rsidRPr="00482210" w14:paraId="7E26CD85" w14:textId="77777777" w:rsidTr="00CE25EB">
        <w:tc>
          <w:tcPr>
            <w:tcW w:w="833" w:type="dxa"/>
            <w:vAlign w:val="center"/>
          </w:tcPr>
          <w:p w14:paraId="7911F506" w14:textId="77777777" w:rsidR="00DF2EBD" w:rsidRPr="00482210" w:rsidRDefault="00DF2EBD" w:rsidP="00482210">
            <w:pPr>
              <w:pStyle w:val="NoSpacing"/>
              <w:jc w:val="center"/>
              <w:rPr>
                <w:b/>
              </w:rPr>
            </w:pPr>
            <w:r w:rsidRPr="00482210">
              <w:rPr>
                <w:b/>
              </w:rPr>
              <w:t>Mark</w:t>
            </w:r>
          </w:p>
        </w:tc>
        <w:tc>
          <w:tcPr>
            <w:tcW w:w="7172" w:type="dxa"/>
          </w:tcPr>
          <w:p w14:paraId="40F1D241" w14:textId="77777777" w:rsidR="00DF2EBD" w:rsidRPr="00482210" w:rsidRDefault="00DF2EBD" w:rsidP="00482210">
            <w:pPr>
              <w:pStyle w:val="NoSpacing"/>
              <w:rPr>
                <w:b/>
              </w:rPr>
            </w:pPr>
            <w:r w:rsidRPr="00482210">
              <w:rPr>
                <w:b/>
              </w:rPr>
              <w:t>Test</w:t>
            </w:r>
          </w:p>
        </w:tc>
        <w:tc>
          <w:tcPr>
            <w:tcW w:w="1345" w:type="dxa"/>
            <w:vAlign w:val="center"/>
          </w:tcPr>
          <w:p w14:paraId="181BD0D2" w14:textId="77777777" w:rsidR="00DF2EBD" w:rsidRPr="00482210" w:rsidRDefault="00DF2EBD" w:rsidP="00482210">
            <w:pPr>
              <w:pStyle w:val="NoSpacing"/>
              <w:jc w:val="center"/>
              <w:rPr>
                <w:b/>
              </w:rPr>
            </w:pPr>
            <w:r w:rsidRPr="00482210">
              <w:rPr>
                <w:b/>
              </w:rPr>
              <w:t>Reference #</w:t>
            </w:r>
          </w:p>
        </w:tc>
      </w:tr>
      <w:tr w:rsidR="00DF2EBD" w:rsidRPr="00482210" w14:paraId="7F2D4234" w14:textId="77777777" w:rsidTr="00CE25EB">
        <w:tc>
          <w:tcPr>
            <w:tcW w:w="833" w:type="dxa"/>
            <w:vAlign w:val="center"/>
          </w:tcPr>
          <w:p w14:paraId="31A7613A" w14:textId="77777777" w:rsidR="00DF2EBD" w:rsidRPr="00482210" w:rsidRDefault="00DF2EBD" w:rsidP="00482210">
            <w:pPr>
              <w:pStyle w:val="NoSpacing"/>
              <w:jc w:val="center"/>
            </w:pPr>
          </w:p>
        </w:tc>
        <w:tc>
          <w:tcPr>
            <w:tcW w:w="7172" w:type="dxa"/>
          </w:tcPr>
          <w:p w14:paraId="7293CB06" w14:textId="6E088DC6" w:rsidR="00DF2EBD" w:rsidRPr="00482210" w:rsidRDefault="00DF2EBD" w:rsidP="00482210">
            <w:pPr>
              <w:pStyle w:val="NoSpacing"/>
            </w:pPr>
            <w:r w:rsidRPr="00482210">
              <w:t>Is the “Window Area” divided by the “</w:t>
            </w:r>
            <w:proofErr w:type="spellStart"/>
            <w:r w:rsidRPr="00482210">
              <w:t>Window+Wall</w:t>
            </w:r>
            <w:proofErr w:type="spellEnd"/>
            <w:r w:rsidRPr="00482210">
              <w:t xml:space="preserve"> Area” for the “All Walls” line consistent with the report </w:t>
            </w:r>
            <w:r w:rsidR="00C7743F" w:rsidRPr="00482210">
              <w:t>window to wall ratio</w:t>
            </w:r>
            <w:r w:rsidRPr="00482210">
              <w:t>?</w:t>
            </w:r>
          </w:p>
          <w:p w14:paraId="2AE08F94" w14:textId="77777777" w:rsidR="00C7743F" w:rsidRPr="00482210" w:rsidRDefault="00C7743F" w:rsidP="00482210">
            <w:pPr>
              <w:pStyle w:val="NoSpacing"/>
            </w:pPr>
            <w:r w:rsidRPr="00482210">
              <w:t>Note:</w:t>
            </w:r>
          </w:p>
          <w:p w14:paraId="7D33B2C4" w14:textId="77777777" w:rsidR="00C7743F" w:rsidRPr="00482210" w:rsidRDefault="00C7743F" w:rsidP="00482210">
            <w:pPr>
              <w:pStyle w:val="NoSpacing"/>
            </w:pPr>
            <w:r w:rsidRPr="00482210">
              <w:t>Once a DOB submission set has been completed the summary values of this report should match within 5% of the values documented on the EN drawings.</w:t>
            </w:r>
            <w:r w:rsidR="002D5F82" w:rsidRPr="00482210">
              <w:t xml:space="preserve">  </w:t>
            </w:r>
          </w:p>
          <w:p w14:paraId="7D49B5EC" w14:textId="5CF31FD7" w:rsidR="002D5F82" w:rsidRPr="00482210" w:rsidRDefault="002D5F82" w:rsidP="00482210">
            <w:pPr>
              <w:pStyle w:val="NoSpacing"/>
            </w:pPr>
            <w:r w:rsidRPr="00482210">
              <w:t>Door areas and U-values are not accounted for in the LV-D report.  The wall area includes the doors.</w:t>
            </w:r>
          </w:p>
        </w:tc>
        <w:tc>
          <w:tcPr>
            <w:tcW w:w="1345" w:type="dxa"/>
            <w:vAlign w:val="center"/>
          </w:tcPr>
          <w:p w14:paraId="0FD5265C" w14:textId="731E96F7" w:rsidR="00DF2EBD" w:rsidRPr="00482210" w:rsidRDefault="001D2D37" w:rsidP="00482210">
            <w:pPr>
              <w:pStyle w:val="NoSpacing"/>
              <w:jc w:val="center"/>
            </w:pPr>
            <w:r w:rsidRPr="00482210">
              <w:t>1</w:t>
            </w:r>
          </w:p>
        </w:tc>
      </w:tr>
      <w:tr w:rsidR="00DF2EBD" w:rsidRPr="00482210" w14:paraId="68DC3B72" w14:textId="77777777" w:rsidTr="00CE25EB">
        <w:tc>
          <w:tcPr>
            <w:tcW w:w="833" w:type="dxa"/>
            <w:vAlign w:val="center"/>
          </w:tcPr>
          <w:p w14:paraId="0651BA3B" w14:textId="435E01C3" w:rsidR="00DF2EBD" w:rsidRPr="00482210" w:rsidRDefault="00DF2EBD" w:rsidP="00482210">
            <w:pPr>
              <w:pStyle w:val="NoSpacing"/>
              <w:jc w:val="center"/>
            </w:pPr>
          </w:p>
        </w:tc>
        <w:tc>
          <w:tcPr>
            <w:tcW w:w="7172" w:type="dxa"/>
          </w:tcPr>
          <w:p w14:paraId="08622E4C" w14:textId="73A346BE" w:rsidR="00DF2EBD" w:rsidRPr="00482210" w:rsidRDefault="00535C1C" w:rsidP="00482210">
            <w:pPr>
              <w:pStyle w:val="NoSpacing"/>
            </w:pPr>
            <w:r w:rsidRPr="00482210">
              <w:t>Roof area consistent with the footprint of the building?</w:t>
            </w:r>
          </w:p>
        </w:tc>
        <w:tc>
          <w:tcPr>
            <w:tcW w:w="1345" w:type="dxa"/>
            <w:vAlign w:val="center"/>
          </w:tcPr>
          <w:p w14:paraId="3996CA50" w14:textId="004302C1" w:rsidR="00DF2EBD" w:rsidRPr="00482210" w:rsidRDefault="001D2D37" w:rsidP="00482210">
            <w:pPr>
              <w:pStyle w:val="NoSpacing"/>
              <w:jc w:val="center"/>
            </w:pPr>
            <w:r w:rsidRPr="00482210">
              <w:t>2</w:t>
            </w:r>
          </w:p>
        </w:tc>
      </w:tr>
      <w:tr w:rsidR="00510243" w:rsidRPr="00482210" w14:paraId="0B7DDF40" w14:textId="77777777" w:rsidTr="00482210">
        <w:trPr>
          <w:trHeight w:val="3320"/>
        </w:trPr>
        <w:tc>
          <w:tcPr>
            <w:tcW w:w="833" w:type="dxa"/>
            <w:vAlign w:val="center"/>
          </w:tcPr>
          <w:p w14:paraId="0C29CA0D" w14:textId="77777777" w:rsidR="00510243" w:rsidRPr="00482210" w:rsidRDefault="00510243" w:rsidP="00482210">
            <w:pPr>
              <w:pStyle w:val="NoSpacing"/>
              <w:jc w:val="center"/>
            </w:pPr>
          </w:p>
        </w:tc>
        <w:tc>
          <w:tcPr>
            <w:tcW w:w="7172" w:type="dxa"/>
          </w:tcPr>
          <w:p w14:paraId="1865A3EF" w14:textId="5933E462" w:rsidR="00510243" w:rsidRPr="00482210" w:rsidRDefault="00510243" w:rsidP="00482210">
            <w:pPr>
              <w:pStyle w:val="NoSpacing"/>
            </w:pPr>
            <w:r w:rsidRPr="00482210">
              <w:t>Select a few representative wall definitions</w:t>
            </w:r>
            <w:r w:rsidR="00617FB6" w:rsidRPr="00482210">
              <w:t>, are their</w:t>
            </w:r>
            <w:r w:rsidR="00740A3C" w:rsidRPr="00482210">
              <w:t xml:space="preserve"> U</w:t>
            </w:r>
            <w:r w:rsidR="00617FB6" w:rsidRPr="00482210">
              <w:t>-values consistent with report values?</w:t>
            </w:r>
            <w:r w:rsidR="002D5F82" w:rsidRPr="00482210">
              <w:t xml:space="preserve">  In general, the U-value from the LV-D report will be lower than the reported value, and should be within 5%.  </w:t>
            </w:r>
          </w:p>
          <w:p w14:paraId="5466C4CE" w14:textId="77777777" w:rsidR="002D5F82" w:rsidRPr="00482210" w:rsidRDefault="002D5F82" w:rsidP="00482210">
            <w:pPr>
              <w:pStyle w:val="NoSpacing"/>
            </w:pPr>
          </w:p>
          <w:p w14:paraId="0E4EBB3A" w14:textId="77777777" w:rsidR="00904391" w:rsidRPr="00482210" w:rsidRDefault="00904391" w:rsidP="00482210">
            <w:pPr>
              <w:pStyle w:val="NoSpacing"/>
            </w:pPr>
            <w:r w:rsidRPr="00482210">
              <w:t>Note:</w:t>
            </w:r>
          </w:p>
          <w:p w14:paraId="3A390CC5" w14:textId="33CC4D17" w:rsidR="00132883" w:rsidRPr="00482210" w:rsidRDefault="00C7743F" w:rsidP="00482210">
            <w:pPr>
              <w:pStyle w:val="NoSpacing"/>
            </w:pPr>
            <w:r w:rsidRPr="00482210">
              <w:t xml:space="preserve">The LV-D and LV-I reports calculations are not consistent with the protocol established by ASHRAE 90.1 Appendix A.  The interior </w:t>
            </w:r>
            <w:r w:rsidR="002F6A55" w:rsidRPr="00482210">
              <w:t>air film coefficient default</w:t>
            </w:r>
            <w:r w:rsidRPr="00482210">
              <w:t xml:space="preserve"> do</w:t>
            </w:r>
            <w:r w:rsidR="002F6A55" w:rsidRPr="00482210">
              <w:t>es</w:t>
            </w:r>
            <w:r w:rsidRPr="00482210">
              <w:t xml:space="preserve"> not account for the orientation of the construction.  The LV-I U-value calculation does not consider the exterior</w:t>
            </w:r>
            <w:r w:rsidR="002F6A55" w:rsidRPr="00482210">
              <w:t xml:space="preserve"> air</w:t>
            </w:r>
            <w:r w:rsidRPr="00482210">
              <w:t xml:space="preserve"> film, and the LV-D U-value calculation uses a different value than specified by ASHRAE 90.1 Appendix A. </w:t>
            </w:r>
            <w:r w:rsidR="002F6A55" w:rsidRPr="00482210">
              <w:t xml:space="preserve"> During the simulation, </w:t>
            </w:r>
            <w:proofErr w:type="spellStart"/>
            <w:r w:rsidR="002F6A55" w:rsidRPr="00482210">
              <w:t>eQuest</w:t>
            </w:r>
            <w:proofErr w:type="spellEnd"/>
            <w:r w:rsidR="002F6A55" w:rsidRPr="00482210">
              <w:t xml:space="preserve"> </w:t>
            </w:r>
            <w:r w:rsidRPr="00482210">
              <w:t>calculate</w:t>
            </w:r>
            <w:r w:rsidR="002F6A55" w:rsidRPr="00482210">
              <w:t>s</w:t>
            </w:r>
            <w:r w:rsidRPr="00482210">
              <w:t xml:space="preserve"> the exterior air film </w:t>
            </w:r>
            <w:r w:rsidR="00740A3C" w:rsidRPr="00482210">
              <w:t>hourly based on the</w:t>
            </w:r>
            <w:r w:rsidR="002F6A55" w:rsidRPr="00482210">
              <w:t xml:space="preserve"> </w:t>
            </w:r>
            <w:r w:rsidR="00740A3C" w:rsidRPr="00482210">
              <w:t xml:space="preserve">wind </w:t>
            </w:r>
            <w:r w:rsidR="002F6A55" w:rsidRPr="00482210">
              <w:t>speed</w:t>
            </w:r>
            <w:r w:rsidR="00740A3C" w:rsidRPr="00482210">
              <w:t xml:space="preserve"> from the weather file</w:t>
            </w:r>
            <w:r w:rsidR="002F6A55" w:rsidRPr="00482210">
              <w:t>.</w:t>
            </w:r>
          </w:p>
        </w:tc>
        <w:tc>
          <w:tcPr>
            <w:tcW w:w="1345" w:type="dxa"/>
            <w:vAlign w:val="center"/>
          </w:tcPr>
          <w:p w14:paraId="39ABB650" w14:textId="2EAA0592" w:rsidR="00510243" w:rsidRPr="00482210" w:rsidRDefault="00135D4A" w:rsidP="00482210">
            <w:pPr>
              <w:pStyle w:val="NoSpacing"/>
              <w:jc w:val="center"/>
            </w:pPr>
            <w:r w:rsidRPr="00482210">
              <w:t>3</w:t>
            </w:r>
          </w:p>
        </w:tc>
      </w:tr>
      <w:tr w:rsidR="006C173A" w:rsidRPr="00482210" w14:paraId="19F07D15" w14:textId="77777777" w:rsidTr="00482210">
        <w:tc>
          <w:tcPr>
            <w:tcW w:w="833" w:type="dxa"/>
            <w:shd w:val="clear" w:color="auto" w:fill="auto"/>
            <w:vAlign w:val="center"/>
          </w:tcPr>
          <w:p w14:paraId="14233542" w14:textId="77777777" w:rsidR="006C173A" w:rsidRPr="00482210" w:rsidRDefault="006C173A" w:rsidP="00482210">
            <w:pPr>
              <w:pStyle w:val="NoSpacing"/>
              <w:jc w:val="center"/>
            </w:pPr>
          </w:p>
        </w:tc>
        <w:tc>
          <w:tcPr>
            <w:tcW w:w="7172" w:type="dxa"/>
            <w:shd w:val="clear" w:color="auto" w:fill="auto"/>
          </w:tcPr>
          <w:p w14:paraId="25BEE112" w14:textId="3FB635D6" w:rsidR="006C173A" w:rsidRPr="00482210" w:rsidRDefault="006C173A" w:rsidP="00482210">
            <w:pPr>
              <w:pStyle w:val="NoSpacing"/>
            </w:pPr>
            <w:r w:rsidRPr="00482210">
              <w:t>Select a few representative w</w:t>
            </w:r>
            <w:r w:rsidR="00D72A0A" w:rsidRPr="00482210">
              <w:t>indow</w:t>
            </w:r>
            <w:r w:rsidRPr="00482210">
              <w:t xml:space="preserve"> definitions, are their U-values consistent with report values?</w:t>
            </w:r>
          </w:p>
          <w:p w14:paraId="26CD3CF1" w14:textId="77777777" w:rsidR="006C173A" w:rsidRPr="00482210" w:rsidRDefault="006C173A" w:rsidP="00482210">
            <w:pPr>
              <w:pStyle w:val="NoSpacing"/>
            </w:pPr>
            <w:r w:rsidRPr="00482210">
              <w:t>Note:</w:t>
            </w:r>
          </w:p>
          <w:p w14:paraId="5CFA70D6" w14:textId="640C7450" w:rsidR="006C173A" w:rsidRPr="00482210" w:rsidRDefault="006C173A" w:rsidP="00482210">
            <w:pPr>
              <w:pStyle w:val="NoSpacing"/>
            </w:pPr>
            <w:r w:rsidRPr="00482210">
              <w:t xml:space="preserve">The </w:t>
            </w:r>
            <w:r w:rsidR="002711EC" w:rsidRPr="00482210">
              <w:t>window U-values include an exterior film with R-value = 0.3.  NFRC uses 0.17 to calculate the U-factor.  The U-value from the LV-D report will be 3-5% lower than reported value.</w:t>
            </w:r>
            <w:r w:rsidRPr="00482210">
              <w:t xml:space="preserve"> </w:t>
            </w:r>
          </w:p>
        </w:tc>
        <w:tc>
          <w:tcPr>
            <w:tcW w:w="1345" w:type="dxa"/>
            <w:shd w:val="clear" w:color="auto" w:fill="auto"/>
            <w:vAlign w:val="center"/>
          </w:tcPr>
          <w:p w14:paraId="0EC796CA" w14:textId="4BA4782C" w:rsidR="006C173A" w:rsidRPr="00482210" w:rsidRDefault="00135D4A" w:rsidP="00482210">
            <w:pPr>
              <w:pStyle w:val="NoSpacing"/>
              <w:jc w:val="center"/>
            </w:pPr>
            <w:r w:rsidRPr="00482210">
              <w:t>4</w:t>
            </w:r>
          </w:p>
        </w:tc>
      </w:tr>
    </w:tbl>
    <w:p w14:paraId="0F9D00C8" w14:textId="1C49EAE7" w:rsidR="00DF2EBD" w:rsidRPr="00482210" w:rsidRDefault="00DF2EBD" w:rsidP="00482210">
      <w:pPr>
        <w:pStyle w:val="NoSpacing"/>
      </w:pPr>
    </w:p>
    <w:p w14:paraId="6383E7EE" w14:textId="211BA63D" w:rsidR="00535C1C" w:rsidRPr="00DE5BEC" w:rsidRDefault="00535C1C" w:rsidP="00DE5BEC">
      <w:pPr>
        <w:pStyle w:val="NoSpacing"/>
        <w:keepNext/>
        <w:rPr>
          <w:b/>
        </w:rPr>
      </w:pPr>
      <w:r w:rsidRPr="00DE5BEC">
        <w:rPr>
          <w:b/>
        </w:rPr>
        <w:lastRenderedPageBreak/>
        <w:t>REPORT: LV-H (Select a few representative window definitions)</w:t>
      </w:r>
    </w:p>
    <w:tbl>
      <w:tblPr>
        <w:tblStyle w:val="TableGrid"/>
        <w:tblW w:w="0" w:type="auto"/>
        <w:tblLook w:val="04A0" w:firstRow="1" w:lastRow="0" w:firstColumn="1" w:lastColumn="0" w:noHBand="0" w:noVBand="1"/>
      </w:tblPr>
      <w:tblGrid>
        <w:gridCol w:w="833"/>
        <w:gridCol w:w="7172"/>
        <w:gridCol w:w="1345"/>
      </w:tblGrid>
      <w:tr w:rsidR="00535C1C" w:rsidRPr="00482210" w14:paraId="14EF0F51" w14:textId="77777777" w:rsidTr="00CE25EB">
        <w:tc>
          <w:tcPr>
            <w:tcW w:w="833" w:type="dxa"/>
            <w:vAlign w:val="center"/>
          </w:tcPr>
          <w:p w14:paraId="566574EB" w14:textId="77777777" w:rsidR="00535C1C" w:rsidRPr="00482210" w:rsidRDefault="00535C1C" w:rsidP="00482210">
            <w:pPr>
              <w:pStyle w:val="NoSpacing"/>
              <w:jc w:val="center"/>
              <w:rPr>
                <w:b/>
              </w:rPr>
            </w:pPr>
            <w:r w:rsidRPr="00482210">
              <w:rPr>
                <w:b/>
              </w:rPr>
              <w:t>Mark</w:t>
            </w:r>
          </w:p>
        </w:tc>
        <w:tc>
          <w:tcPr>
            <w:tcW w:w="7172" w:type="dxa"/>
          </w:tcPr>
          <w:p w14:paraId="0D4344F3" w14:textId="77777777" w:rsidR="00535C1C" w:rsidRPr="00482210" w:rsidRDefault="00535C1C" w:rsidP="00482210">
            <w:pPr>
              <w:pStyle w:val="NoSpacing"/>
              <w:rPr>
                <w:b/>
              </w:rPr>
            </w:pPr>
            <w:r w:rsidRPr="00482210">
              <w:rPr>
                <w:b/>
              </w:rPr>
              <w:t>Test</w:t>
            </w:r>
          </w:p>
        </w:tc>
        <w:tc>
          <w:tcPr>
            <w:tcW w:w="1345" w:type="dxa"/>
            <w:vAlign w:val="center"/>
          </w:tcPr>
          <w:p w14:paraId="68B8CF21" w14:textId="77777777" w:rsidR="00535C1C" w:rsidRPr="00482210" w:rsidRDefault="00535C1C" w:rsidP="00482210">
            <w:pPr>
              <w:pStyle w:val="NoSpacing"/>
              <w:jc w:val="center"/>
              <w:rPr>
                <w:b/>
              </w:rPr>
            </w:pPr>
            <w:r w:rsidRPr="00482210">
              <w:rPr>
                <w:b/>
              </w:rPr>
              <w:t>Reference #</w:t>
            </w:r>
          </w:p>
        </w:tc>
      </w:tr>
      <w:tr w:rsidR="00535C1C" w:rsidRPr="00482210" w14:paraId="36B2BAF5" w14:textId="77777777" w:rsidTr="00CE25EB">
        <w:tc>
          <w:tcPr>
            <w:tcW w:w="833" w:type="dxa"/>
            <w:vAlign w:val="center"/>
          </w:tcPr>
          <w:p w14:paraId="322B403D" w14:textId="77777777" w:rsidR="00535C1C" w:rsidRPr="00482210" w:rsidRDefault="00535C1C" w:rsidP="00482210">
            <w:pPr>
              <w:pStyle w:val="NoSpacing"/>
              <w:jc w:val="center"/>
            </w:pPr>
          </w:p>
        </w:tc>
        <w:tc>
          <w:tcPr>
            <w:tcW w:w="7172" w:type="dxa"/>
          </w:tcPr>
          <w:p w14:paraId="44388C77" w14:textId="4CD710A1" w:rsidR="00535C1C" w:rsidRPr="00482210" w:rsidRDefault="00535C1C" w:rsidP="00482210">
            <w:pPr>
              <w:pStyle w:val="NoSpacing"/>
            </w:pPr>
            <w:r w:rsidRPr="00482210">
              <w:t>Is the weighted average U-value ([Frame U-value * Frame area + Center-of-Glass U-value * {Glass Area – Frame Area}]/Glass Area) consistent with the report values?</w:t>
            </w:r>
          </w:p>
          <w:p w14:paraId="48717ABC" w14:textId="77777777" w:rsidR="002D32B8" w:rsidRPr="00482210" w:rsidRDefault="002D32B8" w:rsidP="00482210">
            <w:pPr>
              <w:pStyle w:val="NoSpacing"/>
            </w:pPr>
            <w:r w:rsidRPr="00482210">
              <w:t>Note:</w:t>
            </w:r>
          </w:p>
          <w:p w14:paraId="404C2546" w14:textId="3F1EDBD8" w:rsidR="002D32B8" w:rsidRPr="00482210" w:rsidRDefault="002D32B8" w:rsidP="00482210">
            <w:pPr>
              <w:pStyle w:val="NoSpacing"/>
            </w:pPr>
            <w:r w:rsidRPr="00482210">
              <w:t>It is common to see a frame area of zero.  Many modelers do their own weighted average calculation outside the software or get the overall U-value from the manufacturer’s rep so enter the values in a simplified form than trying to calibrate a layered input to match manufacturer data.</w:t>
            </w:r>
          </w:p>
        </w:tc>
        <w:tc>
          <w:tcPr>
            <w:tcW w:w="1345" w:type="dxa"/>
            <w:vAlign w:val="center"/>
          </w:tcPr>
          <w:p w14:paraId="443EC259" w14:textId="511B313A" w:rsidR="00535C1C" w:rsidRPr="00482210" w:rsidRDefault="001D2D37" w:rsidP="00482210">
            <w:pPr>
              <w:pStyle w:val="NoSpacing"/>
              <w:jc w:val="center"/>
            </w:pPr>
            <w:r w:rsidRPr="00482210">
              <w:t>1</w:t>
            </w:r>
          </w:p>
        </w:tc>
      </w:tr>
      <w:tr w:rsidR="00535C1C" w:rsidRPr="00482210" w14:paraId="72E57A45" w14:textId="77777777" w:rsidTr="00CE25EB">
        <w:tc>
          <w:tcPr>
            <w:tcW w:w="833" w:type="dxa"/>
            <w:vAlign w:val="center"/>
          </w:tcPr>
          <w:p w14:paraId="01BB0EB1" w14:textId="447E5F67" w:rsidR="00535C1C" w:rsidRPr="00482210" w:rsidRDefault="00535C1C" w:rsidP="00482210">
            <w:pPr>
              <w:pStyle w:val="NoSpacing"/>
              <w:jc w:val="center"/>
            </w:pPr>
          </w:p>
        </w:tc>
        <w:tc>
          <w:tcPr>
            <w:tcW w:w="7172" w:type="dxa"/>
          </w:tcPr>
          <w:p w14:paraId="002F4CEF" w14:textId="65C90FFE" w:rsidR="00535C1C" w:rsidRPr="00482210" w:rsidRDefault="00535C1C" w:rsidP="00482210">
            <w:pPr>
              <w:pStyle w:val="NoSpacing"/>
            </w:pPr>
            <w:r w:rsidRPr="00482210">
              <w:t xml:space="preserve">Is the “Glass Shading </w:t>
            </w:r>
            <w:proofErr w:type="spellStart"/>
            <w:r w:rsidRPr="00482210">
              <w:t>Coeff</w:t>
            </w:r>
            <w:proofErr w:type="spellEnd"/>
            <w:r w:rsidRPr="00482210">
              <w:t>” and “Glass Visible Trans” consistent with the report values?</w:t>
            </w:r>
          </w:p>
        </w:tc>
        <w:tc>
          <w:tcPr>
            <w:tcW w:w="1345" w:type="dxa"/>
            <w:vAlign w:val="center"/>
          </w:tcPr>
          <w:p w14:paraId="31A71BE2" w14:textId="776F5B82" w:rsidR="00535C1C" w:rsidRPr="00482210" w:rsidRDefault="001D2D37" w:rsidP="00482210">
            <w:pPr>
              <w:pStyle w:val="NoSpacing"/>
              <w:jc w:val="center"/>
            </w:pPr>
            <w:r w:rsidRPr="00482210">
              <w:t>2</w:t>
            </w:r>
          </w:p>
        </w:tc>
      </w:tr>
      <w:tr w:rsidR="00535C1C" w:rsidRPr="00482210" w14:paraId="261E7D5B" w14:textId="77777777" w:rsidTr="00CE25EB">
        <w:tc>
          <w:tcPr>
            <w:tcW w:w="833" w:type="dxa"/>
            <w:vAlign w:val="center"/>
          </w:tcPr>
          <w:p w14:paraId="5433EBCD" w14:textId="77777777" w:rsidR="00535C1C" w:rsidRPr="00482210" w:rsidRDefault="00535C1C" w:rsidP="00482210">
            <w:pPr>
              <w:pStyle w:val="NoSpacing"/>
              <w:jc w:val="center"/>
            </w:pPr>
          </w:p>
        </w:tc>
        <w:tc>
          <w:tcPr>
            <w:tcW w:w="7172" w:type="dxa"/>
          </w:tcPr>
          <w:p w14:paraId="66EA040B" w14:textId="4ABF3A6A" w:rsidR="00535C1C" w:rsidRPr="00482210" w:rsidRDefault="00535C1C" w:rsidP="00482210">
            <w:pPr>
              <w:pStyle w:val="NoSpacing"/>
            </w:pPr>
            <w:r w:rsidRPr="00482210">
              <w:t>Is a “setback” modeled?  If yes, is it consistent with the design?  No “setback” should be modeled in a baseline for new construction.</w:t>
            </w:r>
          </w:p>
        </w:tc>
        <w:tc>
          <w:tcPr>
            <w:tcW w:w="1345" w:type="dxa"/>
            <w:vAlign w:val="center"/>
          </w:tcPr>
          <w:p w14:paraId="3AA9FB67" w14:textId="292B56BF" w:rsidR="00535C1C" w:rsidRPr="00482210" w:rsidRDefault="001D2D37" w:rsidP="00482210">
            <w:pPr>
              <w:pStyle w:val="NoSpacing"/>
              <w:jc w:val="center"/>
            </w:pPr>
            <w:r w:rsidRPr="00482210">
              <w:t>3</w:t>
            </w:r>
          </w:p>
        </w:tc>
      </w:tr>
    </w:tbl>
    <w:p w14:paraId="68909C74" w14:textId="77777777" w:rsidR="00535C1C" w:rsidRPr="00482210" w:rsidRDefault="00535C1C" w:rsidP="00482210">
      <w:pPr>
        <w:pStyle w:val="NoSpacing"/>
      </w:pPr>
    </w:p>
    <w:p w14:paraId="7F3635B6" w14:textId="298A800D" w:rsidR="00535C1C" w:rsidRPr="00DE5BEC" w:rsidRDefault="00535C1C" w:rsidP="00482210">
      <w:pPr>
        <w:pStyle w:val="NoSpacing"/>
        <w:rPr>
          <w:b/>
        </w:rPr>
      </w:pPr>
      <w:r w:rsidRPr="00DE5BEC">
        <w:rPr>
          <w:b/>
        </w:rPr>
        <w:t>REPORT: LV-I</w:t>
      </w:r>
    </w:p>
    <w:tbl>
      <w:tblPr>
        <w:tblStyle w:val="TableGrid"/>
        <w:tblW w:w="0" w:type="auto"/>
        <w:tblLook w:val="04A0" w:firstRow="1" w:lastRow="0" w:firstColumn="1" w:lastColumn="0" w:noHBand="0" w:noVBand="1"/>
      </w:tblPr>
      <w:tblGrid>
        <w:gridCol w:w="833"/>
        <w:gridCol w:w="7172"/>
        <w:gridCol w:w="1345"/>
      </w:tblGrid>
      <w:tr w:rsidR="00535C1C" w:rsidRPr="00482210" w14:paraId="05C6D835" w14:textId="77777777" w:rsidTr="00CE25EB">
        <w:tc>
          <w:tcPr>
            <w:tcW w:w="833" w:type="dxa"/>
            <w:vAlign w:val="center"/>
          </w:tcPr>
          <w:p w14:paraId="5DB77D0E" w14:textId="77777777" w:rsidR="00535C1C" w:rsidRPr="00482210" w:rsidRDefault="00535C1C" w:rsidP="00482210">
            <w:pPr>
              <w:pStyle w:val="NoSpacing"/>
              <w:jc w:val="center"/>
              <w:rPr>
                <w:b/>
              </w:rPr>
            </w:pPr>
            <w:r w:rsidRPr="00482210">
              <w:rPr>
                <w:b/>
              </w:rPr>
              <w:t>Mark</w:t>
            </w:r>
          </w:p>
        </w:tc>
        <w:tc>
          <w:tcPr>
            <w:tcW w:w="7172" w:type="dxa"/>
          </w:tcPr>
          <w:p w14:paraId="63455854" w14:textId="77777777" w:rsidR="00535C1C" w:rsidRPr="00482210" w:rsidRDefault="00535C1C" w:rsidP="00482210">
            <w:pPr>
              <w:pStyle w:val="NoSpacing"/>
              <w:rPr>
                <w:b/>
              </w:rPr>
            </w:pPr>
            <w:r w:rsidRPr="00482210">
              <w:rPr>
                <w:b/>
              </w:rPr>
              <w:t>Test</w:t>
            </w:r>
          </w:p>
        </w:tc>
        <w:tc>
          <w:tcPr>
            <w:tcW w:w="1345" w:type="dxa"/>
            <w:vAlign w:val="center"/>
          </w:tcPr>
          <w:p w14:paraId="765A6AF9" w14:textId="77777777" w:rsidR="00535C1C" w:rsidRPr="00482210" w:rsidRDefault="00535C1C" w:rsidP="00482210">
            <w:pPr>
              <w:pStyle w:val="NoSpacing"/>
              <w:jc w:val="center"/>
              <w:rPr>
                <w:b/>
              </w:rPr>
            </w:pPr>
            <w:r w:rsidRPr="00482210">
              <w:rPr>
                <w:b/>
              </w:rPr>
              <w:t>Reference #</w:t>
            </w:r>
          </w:p>
        </w:tc>
      </w:tr>
      <w:tr w:rsidR="00535C1C" w:rsidRPr="00482210" w14:paraId="45D2DB2E" w14:textId="77777777" w:rsidTr="00CE25EB">
        <w:tc>
          <w:tcPr>
            <w:tcW w:w="833" w:type="dxa"/>
            <w:vAlign w:val="center"/>
          </w:tcPr>
          <w:p w14:paraId="38612592" w14:textId="77777777" w:rsidR="00535C1C" w:rsidRPr="00482210" w:rsidRDefault="00535C1C" w:rsidP="00482210">
            <w:pPr>
              <w:pStyle w:val="NoSpacing"/>
              <w:jc w:val="center"/>
            </w:pPr>
          </w:p>
        </w:tc>
        <w:tc>
          <w:tcPr>
            <w:tcW w:w="7172" w:type="dxa"/>
          </w:tcPr>
          <w:p w14:paraId="1188BF3B" w14:textId="71A5DC15" w:rsidR="00535C1C" w:rsidRPr="00482210" w:rsidRDefault="004E5BCE" w:rsidP="00482210">
            <w:pPr>
              <w:pStyle w:val="NoSpacing"/>
            </w:pPr>
            <w:r w:rsidRPr="00482210">
              <w:t xml:space="preserve">Are the “U-values” within </w:t>
            </w:r>
            <w:r w:rsidR="009F0F0B" w:rsidRPr="00482210">
              <w:t>the acceptable range</w:t>
            </w:r>
            <w:r w:rsidRPr="00482210">
              <w:t xml:space="preserve"> of the report values? </w:t>
            </w:r>
          </w:p>
          <w:p w14:paraId="461CE8E4" w14:textId="77777777" w:rsidR="00740A3C" w:rsidRPr="00482210" w:rsidRDefault="00740A3C" w:rsidP="00482210">
            <w:pPr>
              <w:pStyle w:val="NoSpacing"/>
            </w:pPr>
            <w:r w:rsidRPr="00482210">
              <w:t>Note:</w:t>
            </w:r>
          </w:p>
          <w:p w14:paraId="47C12D9C" w14:textId="20E43DD6" w:rsidR="00740A3C" w:rsidRPr="00482210" w:rsidRDefault="00740A3C" w:rsidP="00482210">
            <w:pPr>
              <w:pStyle w:val="NoSpacing"/>
            </w:pPr>
            <w:r w:rsidRPr="00482210">
              <w:t>Please see note in LV-D report section regarding U-value calculations.  The U-value from the LV-I report will be higher than the reported value, but the variation is dependent on the thermal properties of the wall.</w:t>
            </w:r>
          </w:p>
          <w:tbl>
            <w:tblPr>
              <w:tblStyle w:val="GridTable1Light"/>
              <w:tblW w:w="0" w:type="auto"/>
              <w:tblLook w:val="04A0" w:firstRow="1" w:lastRow="0" w:firstColumn="1" w:lastColumn="0" w:noHBand="0" w:noVBand="1"/>
            </w:tblPr>
            <w:tblGrid>
              <w:gridCol w:w="2109"/>
              <w:gridCol w:w="2160"/>
            </w:tblGrid>
            <w:tr w:rsidR="00740A3C" w:rsidRPr="00482210" w14:paraId="0BFDE034" w14:textId="77777777" w:rsidTr="00482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58FF948F" w14:textId="77777777" w:rsidR="00740A3C" w:rsidRPr="00482210" w:rsidRDefault="00740A3C" w:rsidP="00482210">
                  <w:pPr>
                    <w:pStyle w:val="NoSpacing"/>
                  </w:pPr>
                  <w:r w:rsidRPr="00482210">
                    <w:t>Reported U-value</w:t>
                  </w:r>
                </w:p>
              </w:tc>
              <w:tc>
                <w:tcPr>
                  <w:tcW w:w="2160" w:type="dxa"/>
                </w:tcPr>
                <w:p w14:paraId="5FF31873" w14:textId="77777777" w:rsidR="00740A3C" w:rsidRPr="00482210" w:rsidRDefault="00740A3C" w:rsidP="00482210">
                  <w:pPr>
                    <w:pStyle w:val="NoSpacing"/>
                    <w:cnfStyle w:val="100000000000" w:firstRow="1" w:lastRow="0" w:firstColumn="0" w:lastColumn="0" w:oddVBand="0" w:evenVBand="0" w:oddHBand="0" w:evenHBand="0" w:firstRowFirstColumn="0" w:firstRowLastColumn="0" w:lastRowFirstColumn="0" w:lastRowLastColumn="0"/>
                  </w:pPr>
                  <w:r w:rsidRPr="00482210">
                    <w:t>LV-I deviation</w:t>
                  </w:r>
                </w:p>
              </w:tc>
            </w:tr>
            <w:tr w:rsidR="00740A3C" w:rsidRPr="00482210" w14:paraId="6DED61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258ED800" w14:textId="77777777" w:rsidR="00740A3C" w:rsidRPr="00482210" w:rsidRDefault="00740A3C" w:rsidP="00482210">
                  <w:pPr>
                    <w:pStyle w:val="NoSpacing"/>
                  </w:pPr>
                  <w:r w:rsidRPr="00482210">
                    <w:rPr>
                      <w:b w:val="0"/>
                      <w:bCs w:val="0"/>
                      <w:color w:val="000000"/>
                    </w:rPr>
                    <w:t>&lt;0.07</w:t>
                  </w:r>
                </w:p>
              </w:tc>
              <w:tc>
                <w:tcPr>
                  <w:tcW w:w="2160" w:type="dxa"/>
                  <w:vAlign w:val="center"/>
                </w:tcPr>
                <w:p w14:paraId="740138CF"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&lt; 5% higher</w:t>
                  </w:r>
                </w:p>
              </w:tc>
            </w:tr>
            <w:tr w:rsidR="00740A3C" w:rsidRPr="00482210" w14:paraId="05DF82DB"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46D46233" w14:textId="77777777" w:rsidR="00740A3C" w:rsidRPr="00482210" w:rsidRDefault="00740A3C" w:rsidP="00482210">
                  <w:pPr>
                    <w:pStyle w:val="NoSpacing"/>
                  </w:pPr>
                  <w:r w:rsidRPr="00482210">
                    <w:rPr>
                      <w:b w:val="0"/>
                      <w:bCs w:val="0"/>
                      <w:color w:val="000000"/>
                    </w:rPr>
                    <w:t>0.07-0.13</w:t>
                  </w:r>
                </w:p>
              </w:tc>
              <w:tc>
                <w:tcPr>
                  <w:tcW w:w="2160" w:type="dxa"/>
                  <w:vAlign w:val="center"/>
                </w:tcPr>
                <w:p w14:paraId="5CC82926"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5-10% higher</w:t>
                  </w:r>
                </w:p>
              </w:tc>
            </w:tr>
            <w:tr w:rsidR="00740A3C" w:rsidRPr="00482210" w14:paraId="38FA7819"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6AABBC2F" w14:textId="77777777" w:rsidR="00740A3C" w:rsidRPr="00482210" w:rsidRDefault="00740A3C" w:rsidP="00482210">
                  <w:pPr>
                    <w:pStyle w:val="NoSpacing"/>
                  </w:pPr>
                  <w:r w:rsidRPr="00482210">
                    <w:rPr>
                      <w:b w:val="0"/>
                      <w:bCs w:val="0"/>
                      <w:color w:val="000000"/>
                    </w:rPr>
                    <w:t>0.13-0.17</w:t>
                  </w:r>
                </w:p>
              </w:tc>
              <w:tc>
                <w:tcPr>
                  <w:tcW w:w="2160" w:type="dxa"/>
                  <w:vAlign w:val="center"/>
                </w:tcPr>
                <w:p w14:paraId="595F52DB"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10-15% higher</w:t>
                  </w:r>
                </w:p>
              </w:tc>
            </w:tr>
            <w:tr w:rsidR="00740A3C" w:rsidRPr="00482210" w14:paraId="20967D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7BDE1711" w14:textId="77777777" w:rsidR="00740A3C" w:rsidRPr="00482210" w:rsidRDefault="00740A3C" w:rsidP="00482210">
                  <w:pPr>
                    <w:pStyle w:val="NoSpacing"/>
                  </w:pPr>
                  <w:r w:rsidRPr="00482210">
                    <w:rPr>
                      <w:b w:val="0"/>
                      <w:bCs w:val="0"/>
                      <w:color w:val="000000"/>
                    </w:rPr>
                    <w:t>0.17-0.2</w:t>
                  </w:r>
                </w:p>
              </w:tc>
              <w:tc>
                <w:tcPr>
                  <w:tcW w:w="2160" w:type="dxa"/>
                  <w:vAlign w:val="center"/>
                </w:tcPr>
                <w:p w14:paraId="1227EC07"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15-20% higher</w:t>
                  </w:r>
                </w:p>
              </w:tc>
            </w:tr>
          </w:tbl>
          <w:p w14:paraId="01EB3459" w14:textId="5BB170E7" w:rsidR="00740A3C" w:rsidRPr="00482210" w:rsidRDefault="00740A3C" w:rsidP="00482210">
            <w:pPr>
              <w:pStyle w:val="NoSpacing"/>
            </w:pPr>
          </w:p>
        </w:tc>
        <w:tc>
          <w:tcPr>
            <w:tcW w:w="1345" w:type="dxa"/>
            <w:vAlign w:val="center"/>
          </w:tcPr>
          <w:p w14:paraId="3743F9CC" w14:textId="1C08A499" w:rsidR="00535C1C" w:rsidRPr="00482210" w:rsidRDefault="001D2D37" w:rsidP="00482210">
            <w:pPr>
              <w:pStyle w:val="NoSpacing"/>
              <w:jc w:val="center"/>
            </w:pPr>
            <w:r w:rsidRPr="00482210">
              <w:t>1</w:t>
            </w:r>
          </w:p>
        </w:tc>
      </w:tr>
    </w:tbl>
    <w:p w14:paraId="6115AD0C" w14:textId="277CE8E3" w:rsidR="00C86F3D" w:rsidRPr="00482210" w:rsidRDefault="00C86F3D" w:rsidP="00482210">
      <w:pPr>
        <w:pStyle w:val="NoSpacing"/>
      </w:pPr>
    </w:p>
    <w:p w14:paraId="6E9E4227" w14:textId="77777777" w:rsidR="00482210" w:rsidRDefault="00482210">
      <w:pPr>
        <w:rPr>
          <w:b/>
        </w:rPr>
      </w:pPr>
      <w:r>
        <w:rPr>
          <w:b/>
        </w:rPr>
        <w:br w:type="page"/>
      </w:r>
    </w:p>
    <w:p w14:paraId="504F37D5" w14:textId="63DB4977" w:rsidR="00135D4A" w:rsidRPr="00DE5BEC" w:rsidRDefault="00135D4A" w:rsidP="00482210">
      <w:pPr>
        <w:pStyle w:val="NoSpacing"/>
        <w:rPr>
          <w:b/>
        </w:rPr>
      </w:pPr>
      <w:r w:rsidRPr="00DE5BEC">
        <w:rPr>
          <w:b/>
        </w:rPr>
        <w:lastRenderedPageBreak/>
        <w:t>REPORT: SV-A- General</w:t>
      </w:r>
    </w:p>
    <w:tbl>
      <w:tblPr>
        <w:tblStyle w:val="TableGrid"/>
        <w:tblW w:w="0" w:type="auto"/>
        <w:tblLook w:val="04A0" w:firstRow="1" w:lastRow="0" w:firstColumn="1" w:lastColumn="0" w:noHBand="0" w:noVBand="1"/>
      </w:tblPr>
      <w:tblGrid>
        <w:gridCol w:w="833"/>
        <w:gridCol w:w="7172"/>
        <w:gridCol w:w="1345"/>
      </w:tblGrid>
      <w:tr w:rsidR="00135D4A" w:rsidRPr="00482210" w14:paraId="69AB0E7B" w14:textId="77777777" w:rsidTr="00914507">
        <w:tc>
          <w:tcPr>
            <w:tcW w:w="833" w:type="dxa"/>
            <w:vAlign w:val="center"/>
          </w:tcPr>
          <w:p w14:paraId="0A1DB50F" w14:textId="77777777" w:rsidR="00135D4A" w:rsidRPr="00482210" w:rsidRDefault="00135D4A" w:rsidP="00482210">
            <w:pPr>
              <w:pStyle w:val="NoSpacing"/>
              <w:jc w:val="center"/>
              <w:rPr>
                <w:b/>
              </w:rPr>
            </w:pPr>
            <w:r w:rsidRPr="00482210">
              <w:rPr>
                <w:b/>
              </w:rPr>
              <w:t>Mark</w:t>
            </w:r>
          </w:p>
        </w:tc>
        <w:tc>
          <w:tcPr>
            <w:tcW w:w="7172" w:type="dxa"/>
          </w:tcPr>
          <w:p w14:paraId="30B7A949" w14:textId="77777777" w:rsidR="00135D4A" w:rsidRPr="00482210" w:rsidRDefault="00135D4A" w:rsidP="00482210">
            <w:pPr>
              <w:pStyle w:val="NoSpacing"/>
              <w:rPr>
                <w:b/>
              </w:rPr>
            </w:pPr>
            <w:r w:rsidRPr="00482210">
              <w:rPr>
                <w:b/>
              </w:rPr>
              <w:t>Test</w:t>
            </w:r>
          </w:p>
        </w:tc>
        <w:tc>
          <w:tcPr>
            <w:tcW w:w="1345" w:type="dxa"/>
            <w:vAlign w:val="center"/>
          </w:tcPr>
          <w:p w14:paraId="10E62F23" w14:textId="77777777" w:rsidR="00135D4A" w:rsidRPr="00482210" w:rsidRDefault="00135D4A" w:rsidP="00482210">
            <w:pPr>
              <w:pStyle w:val="NoSpacing"/>
              <w:jc w:val="center"/>
              <w:rPr>
                <w:b/>
              </w:rPr>
            </w:pPr>
            <w:r w:rsidRPr="00482210">
              <w:rPr>
                <w:b/>
              </w:rPr>
              <w:t>Reference #</w:t>
            </w:r>
          </w:p>
        </w:tc>
      </w:tr>
      <w:tr w:rsidR="00135D4A" w:rsidRPr="00482210" w14:paraId="27D6AA00" w14:textId="77777777" w:rsidTr="00914507">
        <w:tc>
          <w:tcPr>
            <w:tcW w:w="833" w:type="dxa"/>
            <w:vAlign w:val="center"/>
          </w:tcPr>
          <w:p w14:paraId="697D57B2" w14:textId="77777777" w:rsidR="00135D4A" w:rsidRPr="00482210" w:rsidRDefault="00135D4A" w:rsidP="00482210">
            <w:pPr>
              <w:pStyle w:val="NoSpacing"/>
              <w:jc w:val="center"/>
            </w:pPr>
          </w:p>
        </w:tc>
        <w:tc>
          <w:tcPr>
            <w:tcW w:w="7172" w:type="dxa"/>
          </w:tcPr>
          <w:p w14:paraId="089A33A4" w14:textId="7144789F" w:rsidR="00135D4A" w:rsidRPr="00482210" w:rsidRDefault="00135D4A" w:rsidP="00482210">
            <w:pPr>
              <w:pStyle w:val="NoSpacing"/>
            </w:pPr>
            <w:r w:rsidRPr="00482210">
              <w:t>Has an SV-A report been provided for all systems referenced in the report?</w:t>
            </w:r>
          </w:p>
        </w:tc>
        <w:tc>
          <w:tcPr>
            <w:tcW w:w="1345" w:type="dxa"/>
            <w:vAlign w:val="center"/>
          </w:tcPr>
          <w:p w14:paraId="1EBBDB3E" w14:textId="128A708B" w:rsidR="00135D4A" w:rsidRPr="00482210" w:rsidRDefault="00135D4A" w:rsidP="00482210">
            <w:pPr>
              <w:pStyle w:val="NoSpacing"/>
              <w:jc w:val="center"/>
            </w:pPr>
            <w:r w:rsidRPr="00482210">
              <w:t>NA</w:t>
            </w:r>
          </w:p>
        </w:tc>
      </w:tr>
      <w:tr w:rsidR="00135D4A" w:rsidRPr="00482210" w14:paraId="0700502B" w14:textId="77777777" w:rsidTr="00914507">
        <w:tc>
          <w:tcPr>
            <w:tcW w:w="833" w:type="dxa"/>
            <w:vAlign w:val="center"/>
          </w:tcPr>
          <w:p w14:paraId="3707008E" w14:textId="77777777" w:rsidR="00135D4A" w:rsidRPr="00482210" w:rsidRDefault="00135D4A" w:rsidP="00482210">
            <w:pPr>
              <w:pStyle w:val="NoSpacing"/>
              <w:jc w:val="center"/>
            </w:pPr>
          </w:p>
        </w:tc>
        <w:tc>
          <w:tcPr>
            <w:tcW w:w="7172" w:type="dxa"/>
          </w:tcPr>
          <w:p w14:paraId="22AD0BB3" w14:textId="77777777" w:rsidR="00135D4A" w:rsidRPr="00482210" w:rsidRDefault="00135D4A" w:rsidP="00482210">
            <w:pPr>
              <w:pStyle w:val="NoSpacing"/>
            </w:pPr>
            <w:r w:rsidRPr="00482210">
              <w:t xml:space="preserve">Is there a 1-1 correspondence in the number of systems between the Proposed and LL86 baseline?  </w:t>
            </w:r>
          </w:p>
        </w:tc>
        <w:tc>
          <w:tcPr>
            <w:tcW w:w="1345" w:type="dxa"/>
            <w:vAlign w:val="center"/>
          </w:tcPr>
          <w:p w14:paraId="63A689C6" w14:textId="4AE4360C" w:rsidR="00135D4A" w:rsidRPr="00482210" w:rsidRDefault="00135D4A" w:rsidP="00482210">
            <w:pPr>
              <w:pStyle w:val="NoSpacing"/>
              <w:jc w:val="center"/>
            </w:pPr>
            <w:r w:rsidRPr="00482210">
              <w:t>NA</w:t>
            </w:r>
          </w:p>
        </w:tc>
      </w:tr>
      <w:tr w:rsidR="00135D4A" w:rsidRPr="00482210" w14:paraId="06032F1A" w14:textId="77777777" w:rsidTr="00914507">
        <w:tc>
          <w:tcPr>
            <w:tcW w:w="833" w:type="dxa"/>
            <w:vAlign w:val="center"/>
          </w:tcPr>
          <w:p w14:paraId="32102FEE" w14:textId="77777777" w:rsidR="00135D4A" w:rsidRPr="00482210" w:rsidRDefault="00135D4A" w:rsidP="00482210">
            <w:pPr>
              <w:pStyle w:val="NoSpacing"/>
              <w:jc w:val="center"/>
            </w:pPr>
          </w:p>
        </w:tc>
        <w:tc>
          <w:tcPr>
            <w:tcW w:w="7172" w:type="dxa"/>
          </w:tcPr>
          <w:p w14:paraId="320B7AAE" w14:textId="77777777" w:rsidR="00135D4A" w:rsidRPr="00482210" w:rsidDel="00EC3F66" w:rsidRDefault="00135D4A" w:rsidP="00482210">
            <w:pPr>
              <w:pStyle w:val="NoSpacing"/>
            </w:pPr>
            <w:r w:rsidRPr="00482210">
              <w:t>Is there one system per floor for the GSG baseline, with the exception of the public assembly spaces and 24hr data rooms?</w:t>
            </w:r>
          </w:p>
        </w:tc>
        <w:tc>
          <w:tcPr>
            <w:tcW w:w="1345" w:type="dxa"/>
            <w:vAlign w:val="center"/>
          </w:tcPr>
          <w:p w14:paraId="7D6E280B" w14:textId="22CD12F7" w:rsidR="00135D4A" w:rsidRPr="00482210" w:rsidRDefault="00135D4A" w:rsidP="00482210">
            <w:pPr>
              <w:pStyle w:val="NoSpacing"/>
              <w:jc w:val="center"/>
            </w:pPr>
            <w:r w:rsidRPr="00482210">
              <w:t>NA</w:t>
            </w:r>
          </w:p>
        </w:tc>
      </w:tr>
    </w:tbl>
    <w:p w14:paraId="179CA0FE" w14:textId="77777777" w:rsidR="00C86F3D" w:rsidRPr="00482210" w:rsidRDefault="00C86F3D" w:rsidP="00482210">
      <w:pPr>
        <w:pStyle w:val="NoSpacing"/>
      </w:pPr>
    </w:p>
    <w:p w14:paraId="4950BA7E" w14:textId="2967458D" w:rsidR="00135D4A" w:rsidRPr="00DE5BEC" w:rsidRDefault="00135D4A" w:rsidP="00482210">
      <w:pPr>
        <w:pStyle w:val="NoSpacing"/>
        <w:rPr>
          <w:b/>
        </w:rPr>
      </w:pPr>
      <w:r w:rsidRPr="00DE5BEC">
        <w:rPr>
          <w:b/>
        </w:rPr>
        <w:t>REPORT: SV-A</w:t>
      </w:r>
    </w:p>
    <w:tbl>
      <w:tblPr>
        <w:tblStyle w:val="TableGrid"/>
        <w:tblW w:w="0" w:type="auto"/>
        <w:tblLook w:val="04A0" w:firstRow="1" w:lastRow="0" w:firstColumn="1" w:lastColumn="0" w:noHBand="0" w:noVBand="1"/>
      </w:tblPr>
      <w:tblGrid>
        <w:gridCol w:w="833"/>
        <w:gridCol w:w="7172"/>
        <w:gridCol w:w="1345"/>
      </w:tblGrid>
      <w:tr w:rsidR="00135D4A" w:rsidRPr="00482210" w14:paraId="0EF73CBD" w14:textId="77777777" w:rsidTr="00914507">
        <w:tc>
          <w:tcPr>
            <w:tcW w:w="833" w:type="dxa"/>
            <w:vAlign w:val="center"/>
          </w:tcPr>
          <w:p w14:paraId="390F4F7D" w14:textId="77777777" w:rsidR="00135D4A" w:rsidRPr="00482210" w:rsidRDefault="00135D4A" w:rsidP="00482210">
            <w:pPr>
              <w:pStyle w:val="NoSpacing"/>
              <w:jc w:val="center"/>
              <w:rPr>
                <w:b/>
              </w:rPr>
            </w:pPr>
            <w:r w:rsidRPr="00482210">
              <w:rPr>
                <w:b/>
              </w:rPr>
              <w:t>Mark</w:t>
            </w:r>
          </w:p>
        </w:tc>
        <w:tc>
          <w:tcPr>
            <w:tcW w:w="7172" w:type="dxa"/>
          </w:tcPr>
          <w:p w14:paraId="1B692E7A" w14:textId="77777777" w:rsidR="00135D4A" w:rsidRPr="00482210" w:rsidRDefault="00135D4A" w:rsidP="00482210">
            <w:pPr>
              <w:pStyle w:val="NoSpacing"/>
              <w:rPr>
                <w:b/>
              </w:rPr>
            </w:pPr>
            <w:r w:rsidRPr="00482210">
              <w:rPr>
                <w:b/>
              </w:rPr>
              <w:t>Test</w:t>
            </w:r>
          </w:p>
        </w:tc>
        <w:tc>
          <w:tcPr>
            <w:tcW w:w="1345" w:type="dxa"/>
            <w:vAlign w:val="center"/>
          </w:tcPr>
          <w:p w14:paraId="2D28BD69" w14:textId="77777777" w:rsidR="00135D4A" w:rsidRPr="00482210" w:rsidRDefault="00135D4A" w:rsidP="00482210">
            <w:pPr>
              <w:pStyle w:val="NoSpacing"/>
              <w:jc w:val="center"/>
              <w:rPr>
                <w:b/>
              </w:rPr>
            </w:pPr>
            <w:r w:rsidRPr="00482210">
              <w:rPr>
                <w:b/>
              </w:rPr>
              <w:t>Reference #</w:t>
            </w:r>
          </w:p>
        </w:tc>
      </w:tr>
      <w:tr w:rsidR="00135D4A" w:rsidRPr="00482210" w14:paraId="092CE15E" w14:textId="77777777" w:rsidTr="00914507">
        <w:tc>
          <w:tcPr>
            <w:tcW w:w="833" w:type="dxa"/>
            <w:vAlign w:val="center"/>
          </w:tcPr>
          <w:p w14:paraId="3DE1DF19" w14:textId="77777777" w:rsidR="00135D4A" w:rsidRPr="00482210" w:rsidRDefault="00135D4A" w:rsidP="00482210">
            <w:pPr>
              <w:pStyle w:val="NoSpacing"/>
              <w:jc w:val="center"/>
            </w:pPr>
          </w:p>
        </w:tc>
        <w:tc>
          <w:tcPr>
            <w:tcW w:w="7172" w:type="dxa"/>
          </w:tcPr>
          <w:p w14:paraId="1D38A404" w14:textId="77777777" w:rsidR="00135D4A" w:rsidRPr="00482210" w:rsidRDefault="00135D4A" w:rsidP="00482210">
            <w:pPr>
              <w:pStyle w:val="NoSpacing"/>
            </w:pPr>
            <w:r w:rsidRPr="00482210">
              <w:t>Are “Capacity (CFM)” and “Power Demand” consistent with report?</w:t>
            </w:r>
          </w:p>
        </w:tc>
        <w:tc>
          <w:tcPr>
            <w:tcW w:w="1345" w:type="dxa"/>
            <w:vAlign w:val="center"/>
          </w:tcPr>
          <w:p w14:paraId="20F8F071" w14:textId="77777777" w:rsidR="00135D4A" w:rsidRPr="00482210" w:rsidRDefault="00135D4A" w:rsidP="00482210">
            <w:pPr>
              <w:pStyle w:val="NoSpacing"/>
              <w:jc w:val="center"/>
            </w:pPr>
            <w:r w:rsidRPr="00482210">
              <w:t>1</w:t>
            </w:r>
          </w:p>
        </w:tc>
      </w:tr>
      <w:tr w:rsidR="00135D4A" w:rsidRPr="00482210" w14:paraId="23244D19" w14:textId="77777777" w:rsidTr="00914507">
        <w:tc>
          <w:tcPr>
            <w:tcW w:w="833" w:type="dxa"/>
            <w:vAlign w:val="center"/>
          </w:tcPr>
          <w:p w14:paraId="08AF4619" w14:textId="77777777" w:rsidR="00135D4A" w:rsidRPr="00482210" w:rsidRDefault="00135D4A" w:rsidP="00482210">
            <w:pPr>
              <w:pStyle w:val="NoSpacing"/>
              <w:jc w:val="center"/>
            </w:pPr>
          </w:p>
        </w:tc>
        <w:tc>
          <w:tcPr>
            <w:tcW w:w="7172" w:type="dxa"/>
          </w:tcPr>
          <w:p w14:paraId="4720E354" w14:textId="77777777" w:rsidR="00135D4A" w:rsidRPr="00482210" w:rsidRDefault="00135D4A" w:rsidP="00482210">
            <w:pPr>
              <w:pStyle w:val="NoSpacing"/>
            </w:pPr>
            <w:r w:rsidRPr="00482210">
              <w:t>Is the “outside air ratio” consistent with the ratio as calculated using the report values?</w:t>
            </w:r>
          </w:p>
          <w:p w14:paraId="53BDFAD6" w14:textId="77777777" w:rsidR="00135D4A" w:rsidRPr="00482210" w:rsidRDefault="00135D4A" w:rsidP="00482210">
            <w:pPr>
              <w:pStyle w:val="NoSpacing"/>
            </w:pPr>
            <w:r w:rsidRPr="00482210">
              <w:t>Notes:</w:t>
            </w:r>
          </w:p>
          <w:p w14:paraId="3A4CBE1B" w14:textId="77777777" w:rsidR="00135D4A" w:rsidRPr="00482210" w:rsidRDefault="00135D4A" w:rsidP="00482210">
            <w:pPr>
              <w:pStyle w:val="NoSpacing"/>
            </w:pPr>
            <w:r w:rsidRPr="00482210">
              <w:t>Due to round-off error, the outdoor air flow calculated by this ratio and the “Capacity (CFM)” will not generally match the report CFM, but should be within 5%.  If you total up the “Outside Air Flow (CFM)” for each zone for that system, it should match the report CFM exactly.</w:t>
            </w:r>
          </w:p>
        </w:tc>
        <w:tc>
          <w:tcPr>
            <w:tcW w:w="1345" w:type="dxa"/>
            <w:vAlign w:val="center"/>
          </w:tcPr>
          <w:p w14:paraId="2D25EDE6" w14:textId="68336319" w:rsidR="00135D4A" w:rsidRPr="00482210" w:rsidRDefault="00BB349D" w:rsidP="00482210">
            <w:pPr>
              <w:pStyle w:val="NoSpacing"/>
              <w:jc w:val="center"/>
            </w:pPr>
            <w:r>
              <w:t>2</w:t>
            </w:r>
          </w:p>
        </w:tc>
      </w:tr>
      <w:tr w:rsidR="00135D4A" w:rsidRPr="00482210" w14:paraId="769AFFB7" w14:textId="77777777" w:rsidTr="00914507">
        <w:tc>
          <w:tcPr>
            <w:tcW w:w="833" w:type="dxa"/>
            <w:vAlign w:val="center"/>
          </w:tcPr>
          <w:p w14:paraId="42AE88EE" w14:textId="77777777" w:rsidR="00135D4A" w:rsidRPr="00482210" w:rsidRDefault="00135D4A" w:rsidP="00482210">
            <w:pPr>
              <w:pStyle w:val="NoSpacing"/>
              <w:jc w:val="center"/>
            </w:pPr>
          </w:p>
        </w:tc>
        <w:tc>
          <w:tcPr>
            <w:tcW w:w="7172" w:type="dxa"/>
          </w:tcPr>
          <w:p w14:paraId="3CC7EBED" w14:textId="77777777" w:rsidR="00135D4A" w:rsidRPr="00482210" w:rsidRDefault="00135D4A" w:rsidP="00482210">
            <w:pPr>
              <w:pStyle w:val="NoSpacing"/>
            </w:pPr>
            <w:r w:rsidRPr="00482210">
              <w:t>Is the “outside air ratio” bigger than the “minimum flow”? If yes, ask modeler to correct.</w:t>
            </w:r>
          </w:p>
          <w:p w14:paraId="5CB2B84A" w14:textId="77777777" w:rsidR="00135D4A" w:rsidRPr="00482210" w:rsidRDefault="00135D4A" w:rsidP="00482210">
            <w:pPr>
              <w:pStyle w:val="NoSpacing"/>
            </w:pPr>
            <w:r w:rsidRPr="00482210">
              <w:t>Notes:</w:t>
            </w:r>
          </w:p>
          <w:p w14:paraId="4F54DCE0" w14:textId="65BED8AE" w:rsidR="00135D4A" w:rsidRPr="00482210" w:rsidRDefault="00135D4A" w:rsidP="00482210">
            <w:pPr>
              <w:pStyle w:val="NoSpacing"/>
            </w:pPr>
            <w:proofErr w:type="spellStart"/>
            <w:proofErr w:type="gramStart"/>
            <w:r w:rsidRPr="00482210">
              <w:t>eQuest</w:t>
            </w:r>
            <w:proofErr w:type="spellEnd"/>
            <w:proofErr w:type="gramEnd"/>
            <w:r w:rsidRPr="00482210">
              <w:t xml:space="preserve"> has a known bug where even though the software should reset the minimum flow up to the outside air ratio despite what is specified, it will not.  </w:t>
            </w:r>
          </w:p>
        </w:tc>
        <w:tc>
          <w:tcPr>
            <w:tcW w:w="1345" w:type="dxa"/>
            <w:vAlign w:val="center"/>
          </w:tcPr>
          <w:p w14:paraId="05AA7018" w14:textId="0678E86A" w:rsidR="00135D4A" w:rsidRPr="00482210" w:rsidRDefault="00BB349D" w:rsidP="00482210">
            <w:pPr>
              <w:pStyle w:val="NoSpacing"/>
              <w:jc w:val="center"/>
            </w:pPr>
            <w:r>
              <w:t>3</w:t>
            </w:r>
          </w:p>
        </w:tc>
      </w:tr>
    </w:tbl>
    <w:p w14:paraId="13C14DCD" w14:textId="77777777" w:rsidR="00135D4A" w:rsidRPr="00482210" w:rsidRDefault="00135D4A" w:rsidP="00482210">
      <w:pPr>
        <w:pStyle w:val="NoSpacing"/>
      </w:pPr>
      <w:proofErr w:type="gramStart"/>
      <w:r w:rsidRPr="00482210">
        <w:t>NOTE(</w:t>
      </w:r>
      <w:proofErr w:type="gramEnd"/>
      <w:r w:rsidRPr="00482210">
        <w:t>1): When reviewing systems take note that Terminal type units will present information slightly differently in SV-A rather than multi-zone type units.  A terminal type system is a single definition in the model that generates one system per attached zone.  As such a terminal type system will report individual fans, airflows, cooling capacities, and heating capacities.  If a common outdoor air system serves the terminal units, then the associated heating/cooling for that sub-system will be listed in top half of the report.</w:t>
      </w:r>
    </w:p>
    <w:p w14:paraId="79D28085" w14:textId="77777777" w:rsidR="00135D4A" w:rsidRPr="00482210" w:rsidRDefault="00135D4A" w:rsidP="00482210">
      <w:pPr>
        <w:pStyle w:val="NoSpacing"/>
      </w:pPr>
      <w:r w:rsidRPr="00482210">
        <w:t xml:space="preserve">NOTE(2):  It is a commonly accepted practice that modelers treat multiple heating coils in series as a single coil as long as they are connected to the same heating plant and proper controls are implemented to prevent reheat if none is designed.  This approximation is acceptable as models do not consider coil freeze-up.  For this reason, it is not unusual to see “no” central heating capacity in the SV-A report.  Instead all of the heating load will be listed in the reheat coils.   </w:t>
      </w:r>
    </w:p>
    <w:p w14:paraId="6ED8FEDF" w14:textId="77777777" w:rsidR="00C86F3D" w:rsidRPr="00482210" w:rsidRDefault="00C86F3D" w:rsidP="00482210">
      <w:pPr>
        <w:pStyle w:val="NoSpacing"/>
      </w:pPr>
    </w:p>
    <w:p w14:paraId="15B69F9C" w14:textId="77777777" w:rsidR="00C86F3D" w:rsidRPr="00482210" w:rsidRDefault="00C86F3D" w:rsidP="00482210">
      <w:pPr>
        <w:pStyle w:val="NoSpacing"/>
      </w:pPr>
    </w:p>
    <w:p w14:paraId="1A15DB0C" w14:textId="77777777" w:rsidR="00C86F3D" w:rsidRPr="00482210" w:rsidRDefault="00C86F3D" w:rsidP="00482210">
      <w:pPr>
        <w:pStyle w:val="NoSpacing"/>
      </w:pPr>
    </w:p>
    <w:p w14:paraId="1A9A436D" w14:textId="77777777" w:rsidR="00E61C27" w:rsidRDefault="00E61C27">
      <w:pPr>
        <w:rPr>
          <w:b/>
        </w:rPr>
      </w:pPr>
      <w:r>
        <w:rPr>
          <w:b/>
        </w:rPr>
        <w:br w:type="page"/>
      </w:r>
    </w:p>
    <w:p w14:paraId="7A4DC7DC" w14:textId="50CE6F8D" w:rsidR="00C86F3D" w:rsidRPr="00DE5BEC" w:rsidRDefault="00C86F3D" w:rsidP="00DE5BEC">
      <w:pPr>
        <w:pStyle w:val="NoSpacing"/>
        <w:keepNext/>
        <w:rPr>
          <w:b/>
        </w:rPr>
      </w:pPr>
      <w:r w:rsidRPr="00DE5BEC">
        <w:rPr>
          <w:b/>
        </w:rPr>
        <w:lastRenderedPageBreak/>
        <w:t>REPORT: PV-A</w:t>
      </w:r>
    </w:p>
    <w:tbl>
      <w:tblPr>
        <w:tblStyle w:val="TableGrid"/>
        <w:tblW w:w="0" w:type="auto"/>
        <w:tblLook w:val="04A0" w:firstRow="1" w:lastRow="0" w:firstColumn="1" w:lastColumn="0" w:noHBand="0" w:noVBand="1"/>
      </w:tblPr>
      <w:tblGrid>
        <w:gridCol w:w="833"/>
        <w:gridCol w:w="7172"/>
        <w:gridCol w:w="1345"/>
      </w:tblGrid>
      <w:tr w:rsidR="00C86F3D" w:rsidRPr="00482210" w14:paraId="39366D02" w14:textId="77777777" w:rsidTr="00CE25EB">
        <w:tc>
          <w:tcPr>
            <w:tcW w:w="833" w:type="dxa"/>
            <w:vAlign w:val="center"/>
          </w:tcPr>
          <w:p w14:paraId="14F94021" w14:textId="77777777" w:rsidR="00C86F3D" w:rsidRPr="00482210" w:rsidRDefault="00C86F3D" w:rsidP="00482210">
            <w:pPr>
              <w:pStyle w:val="NoSpacing"/>
              <w:jc w:val="center"/>
              <w:rPr>
                <w:b/>
              </w:rPr>
            </w:pPr>
            <w:r w:rsidRPr="00482210">
              <w:rPr>
                <w:b/>
              </w:rPr>
              <w:t>Mark</w:t>
            </w:r>
          </w:p>
        </w:tc>
        <w:tc>
          <w:tcPr>
            <w:tcW w:w="7172" w:type="dxa"/>
          </w:tcPr>
          <w:p w14:paraId="391DF98C" w14:textId="77777777" w:rsidR="00C86F3D" w:rsidRPr="00482210" w:rsidRDefault="00C86F3D" w:rsidP="00482210">
            <w:pPr>
              <w:pStyle w:val="NoSpacing"/>
              <w:rPr>
                <w:b/>
              </w:rPr>
            </w:pPr>
            <w:r w:rsidRPr="00482210">
              <w:rPr>
                <w:b/>
              </w:rPr>
              <w:t>Test</w:t>
            </w:r>
          </w:p>
        </w:tc>
        <w:tc>
          <w:tcPr>
            <w:tcW w:w="1345" w:type="dxa"/>
            <w:vAlign w:val="center"/>
          </w:tcPr>
          <w:p w14:paraId="4DFB353E" w14:textId="77777777" w:rsidR="00C86F3D" w:rsidRPr="00482210" w:rsidRDefault="00C86F3D" w:rsidP="00482210">
            <w:pPr>
              <w:pStyle w:val="NoSpacing"/>
              <w:jc w:val="center"/>
              <w:rPr>
                <w:b/>
              </w:rPr>
            </w:pPr>
            <w:r w:rsidRPr="00482210">
              <w:rPr>
                <w:b/>
              </w:rPr>
              <w:t>Reference #</w:t>
            </w:r>
          </w:p>
        </w:tc>
      </w:tr>
      <w:tr w:rsidR="00C86F3D" w:rsidRPr="00482210" w14:paraId="6EBE2A21" w14:textId="77777777" w:rsidTr="00CE25EB">
        <w:tc>
          <w:tcPr>
            <w:tcW w:w="833" w:type="dxa"/>
            <w:vAlign w:val="center"/>
          </w:tcPr>
          <w:p w14:paraId="7800A543" w14:textId="77777777" w:rsidR="00C86F3D" w:rsidRPr="00482210" w:rsidRDefault="00C86F3D" w:rsidP="00482210">
            <w:pPr>
              <w:pStyle w:val="NoSpacing"/>
              <w:jc w:val="center"/>
            </w:pPr>
          </w:p>
        </w:tc>
        <w:tc>
          <w:tcPr>
            <w:tcW w:w="7172" w:type="dxa"/>
          </w:tcPr>
          <w:p w14:paraId="4BD0FCBE" w14:textId="02C42CA0" w:rsidR="00C86F3D" w:rsidRPr="00482210" w:rsidRDefault="00C86F3D" w:rsidP="00482210">
            <w:pPr>
              <w:pStyle w:val="NoSpacing"/>
            </w:pPr>
            <w:r w:rsidRPr="00482210">
              <w:t xml:space="preserve">Are </w:t>
            </w:r>
            <w:r w:rsidR="00E4173F" w:rsidRPr="00482210">
              <w:t xml:space="preserve">“rated capacity” of proposed equipment </w:t>
            </w:r>
            <w:r w:rsidRPr="00482210">
              <w:t>consistent with report values?</w:t>
            </w:r>
            <w:r w:rsidR="00E4173F" w:rsidRPr="00482210">
              <w:t xml:space="preserve">  </w:t>
            </w:r>
          </w:p>
        </w:tc>
        <w:tc>
          <w:tcPr>
            <w:tcW w:w="1345" w:type="dxa"/>
            <w:vAlign w:val="center"/>
          </w:tcPr>
          <w:p w14:paraId="2B7CD32D" w14:textId="104D93BA" w:rsidR="00C86F3D" w:rsidRPr="00482210" w:rsidRDefault="001D2D37" w:rsidP="00482210">
            <w:pPr>
              <w:pStyle w:val="NoSpacing"/>
              <w:jc w:val="center"/>
            </w:pPr>
            <w:r w:rsidRPr="00482210">
              <w:t>1</w:t>
            </w:r>
          </w:p>
        </w:tc>
      </w:tr>
      <w:tr w:rsidR="00C86F3D" w:rsidRPr="00482210" w14:paraId="3ACC3817" w14:textId="77777777" w:rsidTr="00CE25EB">
        <w:tc>
          <w:tcPr>
            <w:tcW w:w="833" w:type="dxa"/>
            <w:vAlign w:val="center"/>
          </w:tcPr>
          <w:p w14:paraId="10632A74" w14:textId="77777777" w:rsidR="00C86F3D" w:rsidRPr="00482210" w:rsidRDefault="00C86F3D" w:rsidP="00482210">
            <w:pPr>
              <w:pStyle w:val="NoSpacing"/>
              <w:jc w:val="center"/>
            </w:pPr>
          </w:p>
        </w:tc>
        <w:tc>
          <w:tcPr>
            <w:tcW w:w="7172" w:type="dxa"/>
          </w:tcPr>
          <w:p w14:paraId="47605E5C" w14:textId="40C654AB" w:rsidR="00C86F3D" w:rsidRPr="00482210" w:rsidRDefault="00C86F3D" w:rsidP="00482210">
            <w:pPr>
              <w:pStyle w:val="NoSpacing"/>
            </w:pPr>
            <w:r w:rsidRPr="00482210">
              <w:t xml:space="preserve">Does *Pumps* “Head” match between the Proposed and LL86 baseline?  </w:t>
            </w:r>
          </w:p>
        </w:tc>
        <w:tc>
          <w:tcPr>
            <w:tcW w:w="1345" w:type="dxa"/>
            <w:vAlign w:val="center"/>
          </w:tcPr>
          <w:p w14:paraId="5710CE6E" w14:textId="3DC2B365" w:rsidR="00C86F3D" w:rsidRPr="00482210" w:rsidRDefault="001D2D37" w:rsidP="00482210">
            <w:pPr>
              <w:pStyle w:val="NoSpacing"/>
              <w:jc w:val="center"/>
            </w:pPr>
            <w:r w:rsidRPr="00482210">
              <w:t>2</w:t>
            </w:r>
          </w:p>
        </w:tc>
      </w:tr>
      <w:tr w:rsidR="00C86F3D" w:rsidRPr="00482210" w14:paraId="1DCD8494" w14:textId="77777777" w:rsidTr="00CE25EB">
        <w:tc>
          <w:tcPr>
            <w:tcW w:w="833" w:type="dxa"/>
            <w:vAlign w:val="center"/>
          </w:tcPr>
          <w:p w14:paraId="479093EF" w14:textId="77777777" w:rsidR="00C86F3D" w:rsidRPr="00482210" w:rsidRDefault="00C86F3D" w:rsidP="00482210">
            <w:pPr>
              <w:pStyle w:val="NoSpacing"/>
              <w:jc w:val="center"/>
            </w:pPr>
          </w:p>
        </w:tc>
        <w:tc>
          <w:tcPr>
            <w:tcW w:w="7172" w:type="dxa"/>
          </w:tcPr>
          <w:p w14:paraId="10881FE7" w14:textId="2BF779A6" w:rsidR="00C86F3D" w:rsidRPr="00482210" w:rsidRDefault="00E4173F" w:rsidP="00482210">
            <w:pPr>
              <w:pStyle w:val="NoSpacing"/>
            </w:pPr>
            <w:r w:rsidRPr="00482210">
              <w:t xml:space="preserve">Calculate the GSG baseline “Power” / “Flow” for secondary &amp; primary pumps.  Does it add up to 19 W / </w:t>
            </w:r>
            <w:proofErr w:type="spellStart"/>
            <w:r w:rsidRPr="00482210">
              <w:t>gpm</w:t>
            </w:r>
            <w:proofErr w:type="spellEnd"/>
            <w:r w:rsidRPr="00482210">
              <w:t xml:space="preserve"> for heating, 22 W / </w:t>
            </w:r>
            <w:proofErr w:type="spellStart"/>
            <w:r w:rsidRPr="00482210">
              <w:t>gpm</w:t>
            </w:r>
            <w:proofErr w:type="spellEnd"/>
            <w:r w:rsidRPr="00482210">
              <w:t xml:space="preserve"> for cooling, and 19 W / </w:t>
            </w:r>
            <w:proofErr w:type="spellStart"/>
            <w:r w:rsidRPr="00482210">
              <w:t>gpm</w:t>
            </w:r>
            <w:proofErr w:type="spellEnd"/>
            <w:r w:rsidRPr="00482210">
              <w:t xml:space="preserve"> condenser loop?</w:t>
            </w:r>
          </w:p>
        </w:tc>
        <w:tc>
          <w:tcPr>
            <w:tcW w:w="1345" w:type="dxa"/>
            <w:vAlign w:val="center"/>
          </w:tcPr>
          <w:p w14:paraId="513C9FDB" w14:textId="63775890" w:rsidR="00C86F3D" w:rsidRPr="00482210" w:rsidRDefault="001D2D37" w:rsidP="00482210">
            <w:pPr>
              <w:pStyle w:val="NoSpacing"/>
              <w:jc w:val="center"/>
            </w:pPr>
            <w:r w:rsidRPr="00482210">
              <w:t>3</w:t>
            </w:r>
          </w:p>
        </w:tc>
      </w:tr>
      <w:tr w:rsidR="00C86F3D" w:rsidRPr="00482210" w14:paraId="56325F10" w14:textId="77777777" w:rsidTr="00CE25EB">
        <w:tc>
          <w:tcPr>
            <w:tcW w:w="833" w:type="dxa"/>
            <w:vAlign w:val="center"/>
          </w:tcPr>
          <w:p w14:paraId="7063EA72" w14:textId="77777777" w:rsidR="00C86F3D" w:rsidRPr="00482210" w:rsidRDefault="00C86F3D" w:rsidP="00482210">
            <w:pPr>
              <w:pStyle w:val="NoSpacing"/>
              <w:jc w:val="center"/>
            </w:pPr>
          </w:p>
        </w:tc>
        <w:tc>
          <w:tcPr>
            <w:tcW w:w="7172" w:type="dxa"/>
          </w:tcPr>
          <w:p w14:paraId="6341BC7C" w14:textId="77777777" w:rsidR="00C86F3D" w:rsidRPr="00482210" w:rsidRDefault="00E4173F" w:rsidP="00482210">
            <w:pPr>
              <w:pStyle w:val="NoSpacing"/>
            </w:pPr>
            <w:r w:rsidRPr="00482210">
              <w:t>Are “Capacity Control” values consistent with the report?</w:t>
            </w:r>
          </w:p>
          <w:p w14:paraId="4425F899" w14:textId="116BE5F2" w:rsidR="00EC3F66" w:rsidRPr="00482210" w:rsidRDefault="00EC3F66" w:rsidP="00482210">
            <w:pPr>
              <w:pStyle w:val="NoSpacing"/>
            </w:pPr>
            <w:r w:rsidRPr="00482210">
              <w:t>Note: If a loop is served by more than one pump (</w:t>
            </w:r>
            <w:proofErr w:type="spellStart"/>
            <w:r w:rsidRPr="00482210">
              <w:t>ie</w:t>
            </w:r>
            <w:proofErr w:type="spellEnd"/>
            <w:r w:rsidRPr="00482210">
              <w:t xml:space="preserve"> a hot water loop with two boilers and a pump for each boiler), then variable speed pumps will be reported as “VFD &amp; STAGED”.</w:t>
            </w:r>
          </w:p>
        </w:tc>
        <w:tc>
          <w:tcPr>
            <w:tcW w:w="1345" w:type="dxa"/>
            <w:vAlign w:val="center"/>
          </w:tcPr>
          <w:p w14:paraId="7FBECFAF" w14:textId="6FB73649" w:rsidR="00C86F3D" w:rsidRPr="00482210" w:rsidRDefault="001D2D37" w:rsidP="00482210">
            <w:pPr>
              <w:pStyle w:val="NoSpacing"/>
              <w:jc w:val="center"/>
            </w:pPr>
            <w:r w:rsidRPr="00482210">
              <w:t>4</w:t>
            </w:r>
          </w:p>
        </w:tc>
      </w:tr>
    </w:tbl>
    <w:p w14:paraId="3E7682C7" w14:textId="77777777" w:rsidR="00535C1C" w:rsidRPr="00482210" w:rsidRDefault="00535C1C" w:rsidP="00482210">
      <w:pPr>
        <w:pStyle w:val="NoSpacing"/>
      </w:pPr>
    </w:p>
    <w:p w14:paraId="1B2CBEFC" w14:textId="5EEB1ED2" w:rsidR="00135D4A" w:rsidRPr="00DE5BEC" w:rsidRDefault="00135D4A" w:rsidP="00482210">
      <w:pPr>
        <w:pStyle w:val="NoSpacing"/>
        <w:rPr>
          <w:b/>
        </w:rPr>
      </w:pPr>
      <w:r w:rsidRPr="00DE5BEC">
        <w:rPr>
          <w:b/>
        </w:rPr>
        <w:t xml:space="preserve">REPORT: PS-E </w:t>
      </w:r>
    </w:p>
    <w:tbl>
      <w:tblPr>
        <w:tblStyle w:val="TableGrid"/>
        <w:tblW w:w="0" w:type="auto"/>
        <w:tblLook w:val="04A0" w:firstRow="1" w:lastRow="0" w:firstColumn="1" w:lastColumn="0" w:noHBand="0" w:noVBand="1"/>
      </w:tblPr>
      <w:tblGrid>
        <w:gridCol w:w="833"/>
        <w:gridCol w:w="7172"/>
        <w:gridCol w:w="1345"/>
      </w:tblGrid>
      <w:tr w:rsidR="00135D4A" w:rsidRPr="00482210" w14:paraId="317B75D8" w14:textId="77777777" w:rsidTr="00482210">
        <w:tc>
          <w:tcPr>
            <w:tcW w:w="833" w:type="dxa"/>
            <w:shd w:val="clear" w:color="auto" w:fill="auto"/>
            <w:vAlign w:val="center"/>
          </w:tcPr>
          <w:p w14:paraId="1EA78066" w14:textId="77777777" w:rsidR="00135D4A" w:rsidRPr="00482210" w:rsidRDefault="00135D4A" w:rsidP="00482210">
            <w:pPr>
              <w:pStyle w:val="NoSpacing"/>
              <w:jc w:val="center"/>
              <w:rPr>
                <w:b/>
              </w:rPr>
            </w:pPr>
            <w:r w:rsidRPr="00482210">
              <w:rPr>
                <w:b/>
              </w:rPr>
              <w:t>Mark</w:t>
            </w:r>
          </w:p>
        </w:tc>
        <w:tc>
          <w:tcPr>
            <w:tcW w:w="7172" w:type="dxa"/>
            <w:shd w:val="clear" w:color="auto" w:fill="auto"/>
          </w:tcPr>
          <w:p w14:paraId="1AF57B09" w14:textId="77777777" w:rsidR="00135D4A" w:rsidRPr="00482210" w:rsidRDefault="00135D4A" w:rsidP="00482210">
            <w:pPr>
              <w:pStyle w:val="NoSpacing"/>
              <w:rPr>
                <w:b/>
              </w:rPr>
            </w:pPr>
            <w:r w:rsidRPr="00482210">
              <w:rPr>
                <w:b/>
              </w:rPr>
              <w:t>Test</w:t>
            </w:r>
          </w:p>
        </w:tc>
        <w:tc>
          <w:tcPr>
            <w:tcW w:w="1345" w:type="dxa"/>
            <w:shd w:val="clear" w:color="auto" w:fill="auto"/>
            <w:vAlign w:val="center"/>
          </w:tcPr>
          <w:p w14:paraId="567DC1AA" w14:textId="77777777" w:rsidR="00135D4A" w:rsidRPr="00482210" w:rsidRDefault="00135D4A" w:rsidP="00482210">
            <w:pPr>
              <w:pStyle w:val="NoSpacing"/>
              <w:jc w:val="center"/>
              <w:rPr>
                <w:b/>
              </w:rPr>
            </w:pPr>
            <w:r w:rsidRPr="00482210">
              <w:rPr>
                <w:b/>
              </w:rPr>
              <w:t>Reference #</w:t>
            </w:r>
          </w:p>
        </w:tc>
      </w:tr>
      <w:tr w:rsidR="00135D4A" w:rsidRPr="00482210" w14:paraId="3803AE97" w14:textId="77777777" w:rsidTr="00482210">
        <w:tc>
          <w:tcPr>
            <w:tcW w:w="833" w:type="dxa"/>
            <w:shd w:val="clear" w:color="auto" w:fill="auto"/>
            <w:vAlign w:val="center"/>
          </w:tcPr>
          <w:p w14:paraId="6864A633" w14:textId="77777777" w:rsidR="00135D4A" w:rsidRPr="00482210" w:rsidRDefault="00135D4A" w:rsidP="00482210">
            <w:pPr>
              <w:pStyle w:val="NoSpacing"/>
              <w:jc w:val="center"/>
            </w:pPr>
          </w:p>
        </w:tc>
        <w:tc>
          <w:tcPr>
            <w:tcW w:w="7172" w:type="dxa"/>
            <w:shd w:val="clear" w:color="auto" w:fill="auto"/>
          </w:tcPr>
          <w:p w14:paraId="7848DE59" w14:textId="77777777" w:rsidR="00135D4A" w:rsidRPr="00482210" w:rsidRDefault="00135D4A" w:rsidP="00482210">
            <w:pPr>
              <w:pStyle w:val="NoSpacing"/>
            </w:pPr>
            <w:r w:rsidRPr="00482210">
              <w:t>Use Max kW in this report to determine equivalent full load hours (EFLH) in the BEPU report for the various end-uses.</w:t>
            </w:r>
          </w:p>
        </w:tc>
        <w:tc>
          <w:tcPr>
            <w:tcW w:w="1345" w:type="dxa"/>
            <w:shd w:val="clear" w:color="auto" w:fill="auto"/>
            <w:vAlign w:val="center"/>
          </w:tcPr>
          <w:p w14:paraId="1E86E4C9" w14:textId="77777777" w:rsidR="00135D4A" w:rsidRPr="00482210" w:rsidRDefault="00135D4A" w:rsidP="00482210">
            <w:pPr>
              <w:pStyle w:val="NoSpacing"/>
              <w:jc w:val="center"/>
            </w:pPr>
            <w:r w:rsidRPr="00482210">
              <w:t>1</w:t>
            </w:r>
          </w:p>
        </w:tc>
      </w:tr>
      <w:tr w:rsidR="00135D4A" w:rsidRPr="00482210" w14:paraId="7100F655" w14:textId="77777777" w:rsidTr="00482210">
        <w:tc>
          <w:tcPr>
            <w:tcW w:w="833" w:type="dxa"/>
            <w:shd w:val="clear" w:color="auto" w:fill="auto"/>
            <w:vAlign w:val="center"/>
          </w:tcPr>
          <w:p w14:paraId="004D99D8" w14:textId="77777777" w:rsidR="00135D4A" w:rsidRPr="00482210" w:rsidRDefault="00135D4A" w:rsidP="00482210">
            <w:pPr>
              <w:pStyle w:val="NoSpacing"/>
              <w:jc w:val="center"/>
            </w:pPr>
          </w:p>
        </w:tc>
        <w:tc>
          <w:tcPr>
            <w:tcW w:w="7172" w:type="dxa"/>
            <w:shd w:val="clear" w:color="auto" w:fill="auto"/>
          </w:tcPr>
          <w:p w14:paraId="3C13B5C8" w14:textId="77777777" w:rsidR="00135D4A" w:rsidRPr="00482210" w:rsidRDefault="00135D4A" w:rsidP="00482210">
            <w:pPr>
              <w:pStyle w:val="NoSpacing"/>
            </w:pPr>
            <w:r w:rsidRPr="00482210">
              <w:t>Do “Task lighting”, “</w:t>
            </w:r>
            <w:proofErr w:type="spellStart"/>
            <w:r w:rsidRPr="00482210">
              <w:t>Misc</w:t>
            </w:r>
            <w:proofErr w:type="spellEnd"/>
            <w:r w:rsidRPr="00482210">
              <w:t xml:space="preserve"> equip”, </w:t>
            </w:r>
            <w:proofErr w:type="spellStart"/>
            <w:r w:rsidRPr="00482210">
              <w:t>Domest</w:t>
            </w:r>
            <w:proofErr w:type="spellEnd"/>
            <w:r w:rsidRPr="00482210">
              <w:t xml:space="preserve"> Hot </w:t>
            </w:r>
            <w:proofErr w:type="spellStart"/>
            <w:r w:rsidRPr="00482210">
              <w:t>Wtr</w:t>
            </w:r>
            <w:proofErr w:type="spellEnd"/>
            <w:r w:rsidRPr="00482210">
              <w:t xml:space="preserve">”, and “Ext Usage” all have the same Max kW for all months?  If not, is this explained in the report? </w:t>
            </w:r>
            <w:proofErr w:type="gramStart"/>
            <w:r w:rsidRPr="00482210">
              <w:t>i.e</w:t>
            </w:r>
            <w:proofErr w:type="gramEnd"/>
            <w:r w:rsidRPr="00482210">
              <w:t>. Were a different set of schedules used?</w:t>
            </w:r>
          </w:p>
          <w:p w14:paraId="5B3189FB" w14:textId="77777777" w:rsidR="00135D4A" w:rsidRPr="00482210" w:rsidRDefault="00135D4A" w:rsidP="00482210">
            <w:pPr>
              <w:pStyle w:val="NoSpacing"/>
            </w:pPr>
            <w:r w:rsidRPr="00482210">
              <w:t>Note:</w:t>
            </w:r>
          </w:p>
          <w:p w14:paraId="16873F9F" w14:textId="77777777" w:rsidR="00135D4A" w:rsidRPr="00482210" w:rsidRDefault="00135D4A" w:rsidP="00482210">
            <w:pPr>
              <w:pStyle w:val="NoSpacing"/>
            </w:pPr>
            <w:r w:rsidRPr="00482210">
              <w:t>Prototypical schedules are designed to have consistent maximums for all months.   Additionally, the periodicity built into the prototypical schedules means that the month to month energy use for these end uses should only differ by the number of days.  Deviations point to non-prototypical schedules were used.</w:t>
            </w:r>
          </w:p>
        </w:tc>
        <w:tc>
          <w:tcPr>
            <w:tcW w:w="1345" w:type="dxa"/>
            <w:shd w:val="clear" w:color="auto" w:fill="auto"/>
            <w:vAlign w:val="center"/>
          </w:tcPr>
          <w:p w14:paraId="5DA07DA4" w14:textId="77777777" w:rsidR="00135D4A" w:rsidRPr="00482210" w:rsidRDefault="00135D4A" w:rsidP="00482210">
            <w:pPr>
              <w:pStyle w:val="NoSpacing"/>
              <w:jc w:val="center"/>
            </w:pPr>
            <w:r w:rsidRPr="00482210">
              <w:t>2</w:t>
            </w:r>
          </w:p>
        </w:tc>
      </w:tr>
      <w:tr w:rsidR="00135D4A" w:rsidRPr="00482210" w14:paraId="5D408A5D" w14:textId="77777777" w:rsidTr="00482210">
        <w:tc>
          <w:tcPr>
            <w:tcW w:w="833" w:type="dxa"/>
            <w:shd w:val="clear" w:color="auto" w:fill="auto"/>
            <w:vAlign w:val="center"/>
          </w:tcPr>
          <w:p w14:paraId="4CF72173" w14:textId="77777777" w:rsidR="00135D4A" w:rsidRPr="00482210" w:rsidRDefault="00135D4A" w:rsidP="00482210">
            <w:pPr>
              <w:pStyle w:val="NoSpacing"/>
              <w:jc w:val="center"/>
            </w:pPr>
          </w:p>
        </w:tc>
        <w:tc>
          <w:tcPr>
            <w:tcW w:w="7172" w:type="dxa"/>
            <w:shd w:val="clear" w:color="auto" w:fill="auto"/>
          </w:tcPr>
          <w:p w14:paraId="3FCB1B4F" w14:textId="77777777" w:rsidR="00135D4A" w:rsidRPr="00482210" w:rsidRDefault="00135D4A" w:rsidP="00482210">
            <w:pPr>
              <w:pStyle w:val="NoSpacing"/>
            </w:pPr>
            <w:r w:rsidRPr="00482210">
              <w:t xml:space="preserve">If daylighting is specified, does “Lights” Max kW have a minimum in the summer &amp; maximum in the winter? </w:t>
            </w:r>
          </w:p>
          <w:p w14:paraId="6DE37A11" w14:textId="77777777" w:rsidR="00135D4A" w:rsidRPr="00482210" w:rsidRDefault="00135D4A" w:rsidP="00482210">
            <w:pPr>
              <w:pStyle w:val="NoSpacing"/>
            </w:pPr>
            <w:r w:rsidRPr="00482210">
              <w:t>Note:</w:t>
            </w:r>
          </w:p>
          <w:p w14:paraId="4ACECC3F" w14:textId="77777777" w:rsidR="00135D4A" w:rsidRPr="00482210" w:rsidRDefault="00135D4A" w:rsidP="00482210">
            <w:pPr>
              <w:pStyle w:val="NoSpacing"/>
            </w:pPr>
            <w:r w:rsidRPr="00482210">
              <w:t>If daylighting is claimed, but not modeled the lighting use will only be determined by the schedule and the peak will not vary.  The peak varies because of the change in solar angle from summer to winter.  The use varies also because the number of hours of daylight changes as well.   When daylighting is modeled the EFLH will not match the schedule.</w:t>
            </w:r>
          </w:p>
        </w:tc>
        <w:tc>
          <w:tcPr>
            <w:tcW w:w="1345" w:type="dxa"/>
            <w:shd w:val="clear" w:color="auto" w:fill="auto"/>
            <w:vAlign w:val="center"/>
          </w:tcPr>
          <w:p w14:paraId="7A7E6047" w14:textId="77777777" w:rsidR="00135D4A" w:rsidRPr="00482210" w:rsidRDefault="00135D4A" w:rsidP="00482210">
            <w:pPr>
              <w:pStyle w:val="NoSpacing"/>
              <w:jc w:val="center"/>
            </w:pPr>
            <w:r w:rsidRPr="00482210">
              <w:t>3</w:t>
            </w:r>
          </w:p>
        </w:tc>
      </w:tr>
      <w:tr w:rsidR="00135D4A" w:rsidRPr="00482210" w14:paraId="57BDE947" w14:textId="77777777" w:rsidTr="00482210">
        <w:tc>
          <w:tcPr>
            <w:tcW w:w="833" w:type="dxa"/>
            <w:shd w:val="clear" w:color="auto" w:fill="auto"/>
            <w:vAlign w:val="center"/>
          </w:tcPr>
          <w:p w14:paraId="1008F452" w14:textId="77777777" w:rsidR="00135D4A" w:rsidRPr="00482210" w:rsidRDefault="00135D4A" w:rsidP="00482210">
            <w:pPr>
              <w:pStyle w:val="NoSpacing"/>
              <w:jc w:val="center"/>
            </w:pPr>
          </w:p>
        </w:tc>
        <w:tc>
          <w:tcPr>
            <w:tcW w:w="7172" w:type="dxa"/>
            <w:shd w:val="clear" w:color="auto" w:fill="auto"/>
          </w:tcPr>
          <w:p w14:paraId="42919BCC" w14:textId="77777777" w:rsidR="00135D4A" w:rsidRPr="00482210" w:rsidRDefault="00135D4A" w:rsidP="00482210">
            <w:pPr>
              <w:pStyle w:val="NoSpacing"/>
            </w:pPr>
            <w:r w:rsidRPr="00482210">
              <w:t xml:space="preserve">Is “Space Heating” zero for June to September?  If not, is it explained in the report?  </w:t>
            </w:r>
            <w:proofErr w:type="gramStart"/>
            <w:r w:rsidRPr="00482210">
              <w:t>i.e</w:t>
            </w:r>
            <w:proofErr w:type="gramEnd"/>
            <w:r w:rsidRPr="00482210">
              <w:t>. is there reheat specified?</w:t>
            </w:r>
          </w:p>
          <w:p w14:paraId="6712A8D0" w14:textId="77777777" w:rsidR="00135D4A" w:rsidRPr="00482210" w:rsidRDefault="00135D4A" w:rsidP="00482210">
            <w:pPr>
              <w:pStyle w:val="NoSpacing"/>
            </w:pPr>
            <w:r w:rsidRPr="00482210">
              <w:t>Note:</w:t>
            </w:r>
          </w:p>
          <w:p w14:paraId="51E32D3F" w14:textId="77777777" w:rsidR="00135D4A" w:rsidRPr="00482210" w:rsidRDefault="00135D4A" w:rsidP="00482210">
            <w:pPr>
              <w:pStyle w:val="NoSpacing"/>
            </w:pPr>
            <w:r w:rsidRPr="00482210">
              <w:t>Prototypical model has heat indexed “off” for this period, and uses discharge air reset and VAV box position to eliminate any need for reheat.</w:t>
            </w:r>
          </w:p>
        </w:tc>
        <w:tc>
          <w:tcPr>
            <w:tcW w:w="1345" w:type="dxa"/>
            <w:shd w:val="clear" w:color="auto" w:fill="auto"/>
            <w:vAlign w:val="center"/>
          </w:tcPr>
          <w:p w14:paraId="134BA321" w14:textId="77777777" w:rsidR="00135D4A" w:rsidRPr="00482210" w:rsidRDefault="00135D4A" w:rsidP="00482210">
            <w:pPr>
              <w:pStyle w:val="NoSpacing"/>
              <w:jc w:val="center"/>
            </w:pPr>
            <w:r w:rsidRPr="00482210">
              <w:t>4</w:t>
            </w:r>
          </w:p>
        </w:tc>
      </w:tr>
      <w:tr w:rsidR="00135D4A" w:rsidRPr="00482210" w14:paraId="152D9A48" w14:textId="77777777" w:rsidTr="00482210">
        <w:tc>
          <w:tcPr>
            <w:tcW w:w="833" w:type="dxa"/>
            <w:shd w:val="clear" w:color="auto" w:fill="auto"/>
            <w:vAlign w:val="center"/>
          </w:tcPr>
          <w:p w14:paraId="2BAB1CCA" w14:textId="77777777" w:rsidR="00135D4A" w:rsidRPr="00482210" w:rsidRDefault="00135D4A" w:rsidP="00482210">
            <w:pPr>
              <w:pStyle w:val="NoSpacing"/>
              <w:jc w:val="center"/>
            </w:pPr>
          </w:p>
        </w:tc>
        <w:tc>
          <w:tcPr>
            <w:tcW w:w="7172" w:type="dxa"/>
            <w:shd w:val="clear" w:color="auto" w:fill="auto"/>
          </w:tcPr>
          <w:p w14:paraId="5E7C3C9C" w14:textId="77777777" w:rsidR="00135D4A" w:rsidRPr="00482210" w:rsidRDefault="00135D4A" w:rsidP="00482210">
            <w:pPr>
              <w:pStyle w:val="NoSpacing"/>
            </w:pPr>
            <w:r w:rsidRPr="00482210">
              <w:t>Is “Space Cooling” minimal in winter?  Are these values consistent with the data room equipment sizes?</w:t>
            </w:r>
          </w:p>
          <w:p w14:paraId="5F2E1499" w14:textId="77777777" w:rsidR="00135D4A" w:rsidRPr="00482210" w:rsidRDefault="00135D4A" w:rsidP="00482210">
            <w:pPr>
              <w:pStyle w:val="NoSpacing"/>
            </w:pPr>
            <w:r w:rsidRPr="00482210">
              <w:t>Note:</w:t>
            </w:r>
          </w:p>
          <w:p w14:paraId="05D908F4" w14:textId="77777777" w:rsidR="00135D4A" w:rsidRPr="00482210" w:rsidRDefault="00135D4A" w:rsidP="00482210">
            <w:pPr>
              <w:pStyle w:val="NoSpacing"/>
            </w:pPr>
            <w:r w:rsidRPr="00482210">
              <w:t xml:space="preserve">The only HVAC equipment that should be running in winter months are the dedicated data closet and EMR split units.   If the peaks in the winter exceed the estimated input power for this equipment then it is likely the central units are operating which should either be fixed or explained.  </w:t>
            </w:r>
          </w:p>
        </w:tc>
        <w:tc>
          <w:tcPr>
            <w:tcW w:w="1345" w:type="dxa"/>
            <w:shd w:val="clear" w:color="auto" w:fill="auto"/>
            <w:vAlign w:val="center"/>
          </w:tcPr>
          <w:p w14:paraId="7239242C" w14:textId="77777777" w:rsidR="00135D4A" w:rsidRPr="00482210" w:rsidRDefault="00135D4A" w:rsidP="00482210">
            <w:pPr>
              <w:pStyle w:val="NoSpacing"/>
              <w:jc w:val="center"/>
            </w:pPr>
            <w:r w:rsidRPr="00482210">
              <w:t>5</w:t>
            </w:r>
          </w:p>
        </w:tc>
      </w:tr>
    </w:tbl>
    <w:p w14:paraId="11847E05" w14:textId="77777777" w:rsidR="00135D4A" w:rsidRPr="00482210" w:rsidRDefault="00135D4A" w:rsidP="00482210">
      <w:pPr>
        <w:pStyle w:val="NoSpacing"/>
      </w:pPr>
    </w:p>
    <w:p w14:paraId="68715CF7" w14:textId="17E207D6" w:rsidR="00E60512" w:rsidRPr="00482210" w:rsidRDefault="00E60512" w:rsidP="00482210">
      <w:pPr>
        <w:pStyle w:val="NoSpacing"/>
      </w:pPr>
    </w:p>
    <w:sectPr w:rsidR="00E60512" w:rsidRPr="0048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660"/>
    <w:multiLevelType w:val="hybridMultilevel"/>
    <w:tmpl w:val="CAF6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90"/>
    <w:rsid w:val="00022594"/>
    <w:rsid w:val="000359B6"/>
    <w:rsid w:val="00064D9B"/>
    <w:rsid w:val="00073F18"/>
    <w:rsid w:val="00132883"/>
    <w:rsid w:val="00135D4A"/>
    <w:rsid w:val="001831CA"/>
    <w:rsid w:val="001D2D37"/>
    <w:rsid w:val="002044B0"/>
    <w:rsid w:val="002711EC"/>
    <w:rsid w:val="002D32B8"/>
    <w:rsid w:val="002D4F7A"/>
    <w:rsid w:val="002D5F82"/>
    <w:rsid w:val="002E3701"/>
    <w:rsid w:val="002F6A55"/>
    <w:rsid w:val="00354E22"/>
    <w:rsid w:val="0037509F"/>
    <w:rsid w:val="003912CA"/>
    <w:rsid w:val="003931AF"/>
    <w:rsid w:val="003B49DB"/>
    <w:rsid w:val="00482210"/>
    <w:rsid w:val="004E4B1D"/>
    <w:rsid w:val="004E5BCE"/>
    <w:rsid w:val="00510243"/>
    <w:rsid w:val="00513D61"/>
    <w:rsid w:val="00535C1C"/>
    <w:rsid w:val="00555C69"/>
    <w:rsid w:val="005D02C9"/>
    <w:rsid w:val="005E776E"/>
    <w:rsid w:val="005F1689"/>
    <w:rsid w:val="00617FB6"/>
    <w:rsid w:val="00641A6E"/>
    <w:rsid w:val="00647712"/>
    <w:rsid w:val="00670FAD"/>
    <w:rsid w:val="00675096"/>
    <w:rsid w:val="006C173A"/>
    <w:rsid w:val="0072694A"/>
    <w:rsid w:val="00737E74"/>
    <w:rsid w:val="00740A3C"/>
    <w:rsid w:val="007B1936"/>
    <w:rsid w:val="007C6E6D"/>
    <w:rsid w:val="007F70A7"/>
    <w:rsid w:val="008120D2"/>
    <w:rsid w:val="00823342"/>
    <w:rsid w:val="00886F53"/>
    <w:rsid w:val="008D4A4B"/>
    <w:rsid w:val="00904391"/>
    <w:rsid w:val="00970D5C"/>
    <w:rsid w:val="009762EF"/>
    <w:rsid w:val="00981555"/>
    <w:rsid w:val="009D0390"/>
    <w:rsid w:val="009E29EB"/>
    <w:rsid w:val="009F0F0B"/>
    <w:rsid w:val="00A0174A"/>
    <w:rsid w:val="00A4407F"/>
    <w:rsid w:val="00AD1E79"/>
    <w:rsid w:val="00AF141D"/>
    <w:rsid w:val="00AF388A"/>
    <w:rsid w:val="00B36ABF"/>
    <w:rsid w:val="00BB349D"/>
    <w:rsid w:val="00BC079B"/>
    <w:rsid w:val="00C7743F"/>
    <w:rsid w:val="00C86F3D"/>
    <w:rsid w:val="00CE25EB"/>
    <w:rsid w:val="00D404CD"/>
    <w:rsid w:val="00D72A0A"/>
    <w:rsid w:val="00DD0104"/>
    <w:rsid w:val="00DE0246"/>
    <w:rsid w:val="00DE5BEC"/>
    <w:rsid w:val="00DF2EBD"/>
    <w:rsid w:val="00E049D8"/>
    <w:rsid w:val="00E4173F"/>
    <w:rsid w:val="00E60512"/>
    <w:rsid w:val="00E61C27"/>
    <w:rsid w:val="00EA7EC4"/>
    <w:rsid w:val="00EC3F66"/>
    <w:rsid w:val="00F76CA1"/>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3AF5"/>
  <w15:chartTrackingRefBased/>
  <w15:docId w15:val="{1DB5ADBE-BA72-496C-A3C5-B2CE814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90"/>
    <w:pPr>
      <w:spacing w:after="0" w:line="240" w:lineRule="auto"/>
    </w:pPr>
  </w:style>
  <w:style w:type="paragraph" w:customStyle="1" w:styleId="DecimalAligned">
    <w:name w:val="Decimal Aligned"/>
    <w:basedOn w:val="Normal"/>
    <w:uiPriority w:val="40"/>
    <w:qFormat/>
    <w:rsid w:val="009D039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D039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D0390"/>
    <w:rPr>
      <w:rFonts w:eastAsiaTheme="minorEastAsia" w:cs="Times New Roman"/>
      <w:sz w:val="20"/>
      <w:szCs w:val="20"/>
    </w:rPr>
  </w:style>
  <w:style w:type="character" w:styleId="SubtleEmphasis">
    <w:name w:val="Subtle Emphasis"/>
    <w:basedOn w:val="DefaultParagraphFont"/>
    <w:uiPriority w:val="19"/>
    <w:qFormat/>
    <w:rsid w:val="009D0390"/>
    <w:rPr>
      <w:i/>
      <w:iCs/>
    </w:rPr>
  </w:style>
  <w:style w:type="table" w:styleId="LightShading-Accent1">
    <w:name w:val="Light Shading Accent 1"/>
    <w:basedOn w:val="TableNormal"/>
    <w:uiPriority w:val="60"/>
    <w:rsid w:val="009D039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F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0A7"/>
    <w:rPr>
      <w:sz w:val="16"/>
      <w:szCs w:val="16"/>
    </w:rPr>
  </w:style>
  <w:style w:type="paragraph" w:styleId="CommentText">
    <w:name w:val="annotation text"/>
    <w:basedOn w:val="Normal"/>
    <w:link w:val="CommentTextChar"/>
    <w:uiPriority w:val="99"/>
    <w:semiHidden/>
    <w:unhideWhenUsed/>
    <w:rsid w:val="007F70A7"/>
    <w:pPr>
      <w:spacing w:line="240" w:lineRule="auto"/>
    </w:pPr>
    <w:rPr>
      <w:sz w:val="20"/>
      <w:szCs w:val="20"/>
    </w:rPr>
  </w:style>
  <w:style w:type="character" w:customStyle="1" w:styleId="CommentTextChar">
    <w:name w:val="Comment Text Char"/>
    <w:basedOn w:val="DefaultParagraphFont"/>
    <w:link w:val="CommentText"/>
    <w:uiPriority w:val="99"/>
    <w:semiHidden/>
    <w:rsid w:val="007F70A7"/>
    <w:rPr>
      <w:sz w:val="20"/>
      <w:szCs w:val="20"/>
    </w:rPr>
  </w:style>
  <w:style w:type="paragraph" w:styleId="CommentSubject">
    <w:name w:val="annotation subject"/>
    <w:basedOn w:val="CommentText"/>
    <w:next w:val="CommentText"/>
    <w:link w:val="CommentSubjectChar"/>
    <w:uiPriority w:val="99"/>
    <w:semiHidden/>
    <w:unhideWhenUsed/>
    <w:rsid w:val="007F70A7"/>
    <w:rPr>
      <w:b/>
      <w:bCs/>
    </w:rPr>
  </w:style>
  <w:style w:type="character" w:customStyle="1" w:styleId="CommentSubjectChar">
    <w:name w:val="Comment Subject Char"/>
    <w:basedOn w:val="CommentTextChar"/>
    <w:link w:val="CommentSubject"/>
    <w:uiPriority w:val="99"/>
    <w:semiHidden/>
    <w:rsid w:val="007F70A7"/>
    <w:rPr>
      <w:b/>
      <w:bCs/>
      <w:sz w:val="20"/>
      <w:szCs w:val="20"/>
    </w:rPr>
  </w:style>
  <w:style w:type="paragraph" w:styleId="BalloonText">
    <w:name w:val="Balloon Text"/>
    <w:basedOn w:val="Normal"/>
    <w:link w:val="BalloonTextChar"/>
    <w:uiPriority w:val="99"/>
    <w:semiHidden/>
    <w:unhideWhenUsed/>
    <w:rsid w:val="007F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A7"/>
    <w:rPr>
      <w:rFonts w:ascii="Segoe UI" w:hAnsi="Segoe UI" w:cs="Segoe UI"/>
      <w:sz w:val="18"/>
      <w:szCs w:val="18"/>
    </w:rPr>
  </w:style>
  <w:style w:type="character" w:styleId="PlaceholderText">
    <w:name w:val="Placeholder Text"/>
    <w:basedOn w:val="DefaultParagraphFont"/>
    <w:uiPriority w:val="99"/>
    <w:semiHidden/>
    <w:rsid w:val="00981555"/>
    <w:rPr>
      <w:color w:val="808080"/>
    </w:rPr>
  </w:style>
  <w:style w:type="table" w:styleId="GridTable1Light-Accent1">
    <w:name w:val="Grid Table 1 Light Accent 1"/>
    <w:basedOn w:val="TableNormal"/>
    <w:uiPriority w:val="46"/>
    <w:rsid w:val="002F6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6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F6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F6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6364-4F32-4131-AFBA-5F641AD7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1870</Words>
  <Characters>9708</Characters>
  <Application>Microsoft Office Word</Application>
  <DocSecurity>0</DocSecurity>
  <Lines>539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Lewis</dc:creator>
  <cp:keywords/>
  <dc:description/>
  <cp:lastModifiedBy>Emma Stanley</cp:lastModifiedBy>
  <cp:revision>5</cp:revision>
  <dcterms:created xsi:type="dcterms:W3CDTF">2017-07-21T20:57:00Z</dcterms:created>
  <dcterms:modified xsi:type="dcterms:W3CDTF">2017-07-21T21:11:00Z</dcterms:modified>
</cp:coreProperties>
</file>